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43" w:rsidRDefault="00055E1A">
      <w:pPr>
        <w:pStyle w:val="DefaultStyle"/>
        <w:contextualSpacing/>
        <w:jc w:val="center"/>
      </w:pPr>
      <w:r>
        <w:rPr>
          <w:noProof/>
        </w:rPr>
        <w:drawing>
          <wp:anchor distT="0" distB="0" distL="0" distR="0" simplePos="0" relativeHeight="251659264" behindDoc="0" locked="0" layoutInCell="1" allowOverlap="1">
            <wp:simplePos x="0" y="0"/>
            <wp:positionH relativeFrom="character">
              <wp:posOffset>-2905125</wp:posOffset>
            </wp:positionH>
            <wp:positionV relativeFrom="line">
              <wp:posOffset>-676275</wp:posOffset>
            </wp:positionV>
            <wp:extent cx="5943600" cy="2514600"/>
            <wp:effectExtent l="19050" t="0" r="0" b="0"/>
            <wp:wrapSquare wrapText="larges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5943600" cy="2514600"/>
                    </a:xfrm>
                    <a:prstGeom prst="rect">
                      <a:avLst/>
                    </a:prstGeom>
                    <a:noFill/>
                    <a:ln w="9525">
                      <a:noFill/>
                      <a:miter lim="800000"/>
                      <a:headEnd/>
                      <a:tailEnd/>
                    </a:ln>
                  </pic:spPr>
                </pic:pic>
              </a:graphicData>
            </a:graphic>
          </wp:anchor>
        </w:drawing>
      </w:r>
    </w:p>
    <w:p w:rsidR="00502743" w:rsidRDefault="00F9698A">
      <w:pPr>
        <w:pStyle w:val="DefaultStyle"/>
        <w:contextualSpacing/>
        <w:jc w:val="center"/>
      </w:pPr>
      <w:r>
        <w:rPr>
          <w:b/>
          <w:sz w:val="28"/>
          <w:szCs w:val="28"/>
        </w:rPr>
        <w:t>Project Instructions</w:t>
      </w:r>
    </w:p>
    <w:p w:rsidR="00502743" w:rsidRDefault="00502743">
      <w:pPr>
        <w:pStyle w:val="DefaultStyle"/>
        <w:contextualSpacing/>
        <w:jc w:val="center"/>
      </w:pPr>
    </w:p>
    <w:p w:rsidR="00502743" w:rsidRDefault="00F9698A">
      <w:pPr>
        <w:pStyle w:val="DefaultStyle"/>
        <w:tabs>
          <w:tab w:val="left" w:pos="2880"/>
        </w:tabs>
        <w:contextualSpacing/>
      </w:pPr>
      <w:r>
        <w:rPr>
          <w:b/>
        </w:rPr>
        <w:t>Date Submitted:</w:t>
      </w:r>
      <w:r>
        <w:tab/>
      </w:r>
      <w:r w:rsidR="00734320">
        <w:t>March 15, 2013</w:t>
      </w:r>
    </w:p>
    <w:p w:rsidR="00502743" w:rsidRDefault="00502743">
      <w:pPr>
        <w:pStyle w:val="DefaultStyle"/>
        <w:tabs>
          <w:tab w:val="left" w:pos="2880"/>
        </w:tabs>
        <w:contextualSpacing/>
      </w:pPr>
    </w:p>
    <w:p w:rsidR="00502743" w:rsidRDefault="00F9698A">
      <w:pPr>
        <w:pStyle w:val="DefaultStyle"/>
        <w:tabs>
          <w:tab w:val="left" w:pos="2880"/>
        </w:tabs>
        <w:contextualSpacing/>
      </w:pPr>
      <w:r>
        <w:rPr>
          <w:b/>
        </w:rPr>
        <w:t>Platform:</w:t>
      </w:r>
      <w:r>
        <w:tab/>
        <w:t xml:space="preserve">NOAA Ship </w:t>
      </w:r>
      <w:r>
        <w:rPr>
          <w:i/>
          <w:iCs/>
        </w:rPr>
        <w:t>Oscar Dyson</w:t>
      </w:r>
    </w:p>
    <w:p w:rsidR="00502743" w:rsidRDefault="00502743">
      <w:pPr>
        <w:pStyle w:val="DefaultStyle"/>
        <w:tabs>
          <w:tab w:val="left" w:pos="2880"/>
        </w:tabs>
        <w:contextualSpacing/>
      </w:pPr>
    </w:p>
    <w:p w:rsidR="00502743" w:rsidRDefault="00F9698A">
      <w:pPr>
        <w:pStyle w:val="DefaultStyle"/>
        <w:tabs>
          <w:tab w:val="left" w:pos="2880"/>
        </w:tabs>
        <w:contextualSpacing/>
      </w:pPr>
      <w:r>
        <w:rPr>
          <w:b/>
        </w:rPr>
        <w:t>Project Number:</w:t>
      </w:r>
      <w:r>
        <w:tab/>
        <w:t>DY-13-05</w:t>
      </w:r>
    </w:p>
    <w:p w:rsidR="00502743" w:rsidRDefault="00502743">
      <w:pPr>
        <w:pStyle w:val="DefaultStyle"/>
        <w:tabs>
          <w:tab w:val="left" w:pos="2880"/>
        </w:tabs>
        <w:contextualSpacing/>
      </w:pPr>
    </w:p>
    <w:p w:rsidR="00502743" w:rsidRDefault="00F9698A">
      <w:pPr>
        <w:pStyle w:val="DefaultStyle"/>
        <w:tabs>
          <w:tab w:val="left" w:pos="2880"/>
        </w:tabs>
        <w:contextualSpacing/>
      </w:pPr>
      <w:r>
        <w:rPr>
          <w:b/>
        </w:rPr>
        <w:t>Project Title:</w:t>
      </w:r>
      <w:r>
        <w:tab/>
      </w:r>
      <w:proofErr w:type="gramStart"/>
      <w:r>
        <w:rPr>
          <w:i/>
          <w:iCs/>
        </w:rPr>
        <w:t>EcoFOCI  Spring</w:t>
      </w:r>
      <w:proofErr w:type="gramEnd"/>
      <w:r>
        <w:rPr>
          <w:i/>
          <w:iCs/>
        </w:rPr>
        <w:t xml:space="preserve"> Moorings</w:t>
      </w:r>
    </w:p>
    <w:p w:rsidR="00502743" w:rsidRDefault="00502743">
      <w:pPr>
        <w:pStyle w:val="DefaultStyle"/>
        <w:tabs>
          <w:tab w:val="left" w:pos="2880"/>
        </w:tabs>
        <w:contextualSpacing/>
      </w:pPr>
    </w:p>
    <w:p w:rsidR="00502743" w:rsidRDefault="00F9698A">
      <w:pPr>
        <w:pStyle w:val="DefaultStyle"/>
        <w:tabs>
          <w:tab w:val="left" w:pos="2880"/>
        </w:tabs>
        <w:contextualSpacing/>
        <w:rPr>
          <w:color w:val="0000FF"/>
        </w:rPr>
      </w:pPr>
      <w:r>
        <w:rPr>
          <w:b/>
        </w:rPr>
        <w:t>Project Dates:</w:t>
      </w:r>
      <w:r>
        <w:rPr>
          <w:b/>
        </w:rPr>
        <w:tab/>
        <w:t>April 29, 2013 – May 11, 2013</w:t>
      </w:r>
      <w:r>
        <w:rPr>
          <w:color w:val="0000FF"/>
        </w:rPr>
        <w:t xml:space="preserve"> </w:t>
      </w:r>
    </w:p>
    <w:p w:rsidR="00F72130" w:rsidRDefault="00F72130">
      <w:pPr>
        <w:pStyle w:val="DefaultStyle"/>
        <w:tabs>
          <w:tab w:val="left" w:pos="2880"/>
        </w:tabs>
        <w:contextualSpacing/>
        <w:rPr>
          <w:color w:val="0000FF"/>
        </w:rPr>
      </w:pPr>
    </w:p>
    <w:p w:rsidR="00F72130" w:rsidRDefault="00F72130">
      <w:pPr>
        <w:pStyle w:val="DefaultStyle"/>
        <w:tabs>
          <w:tab w:val="left" w:pos="2880"/>
        </w:tabs>
        <w:contextualSpacing/>
      </w:pPr>
    </w:p>
    <w:p w:rsidR="00502743" w:rsidRDefault="00502743">
      <w:pPr>
        <w:pStyle w:val="DefaultStyle"/>
        <w:contextualSpacing/>
      </w:pPr>
    </w:p>
    <w:p w:rsidR="00502743" w:rsidRDefault="00F9698A">
      <w:pPr>
        <w:pStyle w:val="DefaultStyle"/>
        <w:contextualSpacing/>
      </w:pPr>
      <w:r>
        <w:t>Prepared by:</w:t>
      </w:r>
      <w:r>
        <w:tab/>
        <w:t>________________________</w:t>
      </w:r>
      <w:r>
        <w:tab/>
        <w:t>Dated: __________________</w:t>
      </w:r>
    </w:p>
    <w:p w:rsidR="00502743" w:rsidRDefault="00F9698A">
      <w:pPr>
        <w:pStyle w:val="DefaultStyle"/>
        <w:tabs>
          <w:tab w:val="left" w:pos="1440"/>
        </w:tabs>
        <w:contextualSpacing/>
      </w:pPr>
      <w:r>
        <w:tab/>
        <w:t xml:space="preserve">William </w:t>
      </w:r>
      <w:proofErr w:type="spellStart"/>
      <w:r>
        <w:t>Floering</w:t>
      </w:r>
      <w:proofErr w:type="spellEnd"/>
    </w:p>
    <w:p w:rsidR="00502743" w:rsidRDefault="00F9698A">
      <w:pPr>
        <w:pStyle w:val="DefaultStyle"/>
        <w:tabs>
          <w:tab w:val="left" w:pos="1440"/>
        </w:tabs>
        <w:contextualSpacing/>
      </w:pPr>
      <w:r>
        <w:tab/>
        <w:t>Chief Scientist</w:t>
      </w:r>
    </w:p>
    <w:p w:rsidR="00502743" w:rsidRDefault="00F9698A">
      <w:pPr>
        <w:pStyle w:val="DefaultStyle"/>
        <w:tabs>
          <w:tab w:val="left" w:pos="1440"/>
        </w:tabs>
        <w:contextualSpacing/>
      </w:pPr>
      <w:r>
        <w:tab/>
        <w:t>PMEL</w:t>
      </w:r>
    </w:p>
    <w:p w:rsidR="00502743" w:rsidRDefault="00502743">
      <w:pPr>
        <w:pStyle w:val="DefaultStyle"/>
        <w:contextualSpacing/>
      </w:pPr>
    </w:p>
    <w:p w:rsidR="00502743" w:rsidRDefault="00F9698A">
      <w:pPr>
        <w:pStyle w:val="DefaultStyle"/>
        <w:contextualSpacing/>
      </w:pPr>
      <w:r>
        <w:t>Approved by:</w:t>
      </w:r>
      <w:r>
        <w:tab/>
        <w:t>________________________</w:t>
      </w:r>
      <w:r>
        <w:tab/>
        <w:t xml:space="preserve">Dated: </w:t>
      </w:r>
      <w:r>
        <w:rPr>
          <w:u w:val="single"/>
        </w:rPr>
        <w:t>__________________</w:t>
      </w:r>
    </w:p>
    <w:p w:rsidR="00502743" w:rsidRDefault="00F9698A">
      <w:pPr>
        <w:pStyle w:val="DefaultStyle"/>
        <w:tabs>
          <w:tab w:val="left" w:pos="1440"/>
        </w:tabs>
        <w:contextualSpacing/>
      </w:pPr>
      <w:r>
        <w:tab/>
        <w:t xml:space="preserve">Dr. Phyllis </w:t>
      </w:r>
      <w:proofErr w:type="spellStart"/>
      <w:r>
        <w:t>Stabeno</w:t>
      </w:r>
      <w:proofErr w:type="spellEnd"/>
      <w:r>
        <w:t xml:space="preserve"> </w:t>
      </w:r>
    </w:p>
    <w:p w:rsidR="00502743" w:rsidRDefault="00F9698A">
      <w:pPr>
        <w:pStyle w:val="DefaultStyle"/>
        <w:tabs>
          <w:tab w:val="left" w:pos="1440"/>
        </w:tabs>
        <w:contextualSpacing/>
      </w:pPr>
      <w:r>
        <w:tab/>
        <w:t>Program Lead, EcoFOCI</w:t>
      </w:r>
    </w:p>
    <w:p w:rsidR="00502743" w:rsidRDefault="00F9698A">
      <w:pPr>
        <w:pStyle w:val="DefaultStyle"/>
        <w:tabs>
          <w:tab w:val="left" w:pos="1440"/>
        </w:tabs>
        <w:contextualSpacing/>
      </w:pPr>
      <w:r>
        <w:tab/>
        <w:t>PMEL</w:t>
      </w:r>
    </w:p>
    <w:p w:rsidR="00502743" w:rsidRDefault="00502743">
      <w:pPr>
        <w:pStyle w:val="DefaultStyle"/>
        <w:contextualSpacing/>
      </w:pPr>
    </w:p>
    <w:p w:rsidR="00502743" w:rsidRDefault="00F9698A">
      <w:pPr>
        <w:pStyle w:val="DefaultStyle"/>
        <w:contextualSpacing/>
      </w:pPr>
      <w:r>
        <w:t>Approved by:</w:t>
      </w:r>
      <w:r>
        <w:tab/>
        <w:t>________________________</w:t>
      </w:r>
      <w:r>
        <w:tab/>
        <w:t xml:space="preserve">Dated: </w:t>
      </w:r>
      <w:r>
        <w:rPr>
          <w:u w:val="single"/>
        </w:rPr>
        <w:t>__________________</w:t>
      </w:r>
    </w:p>
    <w:p w:rsidR="00502743" w:rsidRDefault="00F9698A">
      <w:pPr>
        <w:pStyle w:val="DefaultStyle"/>
        <w:tabs>
          <w:tab w:val="left" w:pos="1440"/>
        </w:tabs>
        <w:contextualSpacing/>
      </w:pPr>
      <w:r>
        <w:tab/>
        <w:t xml:space="preserve">Dr. Christopher Sabine </w:t>
      </w:r>
    </w:p>
    <w:p w:rsidR="00502743" w:rsidRDefault="00F9698A">
      <w:pPr>
        <w:pStyle w:val="DefaultStyle"/>
        <w:tabs>
          <w:tab w:val="left" w:pos="1440"/>
        </w:tabs>
        <w:contextualSpacing/>
      </w:pPr>
      <w:r>
        <w:tab/>
        <w:t>Director</w:t>
      </w:r>
    </w:p>
    <w:p w:rsidR="00502743" w:rsidRDefault="00F9698A">
      <w:pPr>
        <w:pStyle w:val="DefaultStyle"/>
        <w:tabs>
          <w:tab w:val="left" w:pos="1440"/>
        </w:tabs>
        <w:contextualSpacing/>
      </w:pPr>
      <w:r>
        <w:tab/>
        <w:t>PMEL</w:t>
      </w:r>
    </w:p>
    <w:p w:rsidR="00502743" w:rsidRDefault="00502743">
      <w:pPr>
        <w:pStyle w:val="DefaultStyle"/>
        <w:contextualSpacing/>
      </w:pPr>
    </w:p>
    <w:p w:rsidR="00502743" w:rsidRDefault="00F9698A">
      <w:pPr>
        <w:pStyle w:val="DefaultStyle"/>
        <w:contextualSpacing/>
      </w:pPr>
      <w:r>
        <w:rPr>
          <w:rFonts w:eastAsia="Times New Roman"/>
        </w:rPr>
        <w:t xml:space="preserve"> </w:t>
      </w:r>
      <w:r>
        <w:t>Approved by:</w:t>
      </w:r>
      <w:r>
        <w:tab/>
        <w:t>________________________</w:t>
      </w:r>
      <w:r>
        <w:tab/>
        <w:t>Dated: ________________</w:t>
      </w:r>
      <w:r>
        <w:rPr>
          <w:u w:val="single"/>
        </w:rPr>
        <w:tab/>
      </w:r>
    </w:p>
    <w:p w:rsidR="00502743" w:rsidRDefault="00F9698A">
      <w:pPr>
        <w:pStyle w:val="DefaultStyle"/>
        <w:tabs>
          <w:tab w:val="left" w:pos="1440"/>
        </w:tabs>
        <w:contextualSpacing/>
      </w:pPr>
      <w:r>
        <w:tab/>
        <w:t>Captain Wade J. Blake, NOAA</w:t>
      </w:r>
    </w:p>
    <w:p w:rsidR="00502743" w:rsidRDefault="00F9698A">
      <w:pPr>
        <w:pStyle w:val="DefaultStyle"/>
        <w:tabs>
          <w:tab w:val="left" w:pos="1440"/>
        </w:tabs>
        <w:contextualSpacing/>
      </w:pPr>
      <w:r>
        <w:tab/>
        <w:t>Commanding Officer</w:t>
      </w:r>
    </w:p>
    <w:p w:rsidR="00502743" w:rsidRDefault="00F9698A">
      <w:pPr>
        <w:pStyle w:val="DefaultStyle"/>
        <w:tabs>
          <w:tab w:val="left" w:pos="1440"/>
        </w:tabs>
        <w:contextualSpacing/>
      </w:pPr>
      <w:r>
        <w:tab/>
        <w:t>Marine Operations Center – Pacific</w:t>
      </w:r>
    </w:p>
    <w:p w:rsidR="00502743" w:rsidRDefault="00502743">
      <w:pPr>
        <w:pStyle w:val="DefaultStyle"/>
        <w:tabs>
          <w:tab w:val="left" w:pos="1440"/>
        </w:tabs>
        <w:contextualSpacing/>
      </w:pPr>
    </w:p>
    <w:p w:rsidR="00502743" w:rsidRDefault="00502743">
      <w:pPr>
        <w:pStyle w:val="DefaultStyle"/>
        <w:pageBreakBefore/>
        <w:tabs>
          <w:tab w:val="left" w:pos="1440"/>
        </w:tabs>
        <w:contextualSpacing/>
      </w:pPr>
    </w:p>
    <w:p w:rsidR="00502743" w:rsidRDefault="00F9698A">
      <w:pPr>
        <w:pStyle w:val="DefaultStyle"/>
        <w:tabs>
          <w:tab w:val="left" w:pos="1440"/>
        </w:tabs>
        <w:contextualSpacing/>
      </w:pPr>
      <w:r>
        <w:tab/>
      </w:r>
    </w:p>
    <w:p w:rsidR="00502743" w:rsidRDefault="00F9698A">
      <w:pPr>
        <w:pStyle w:val="DefaultStyle"/>
        <w:contextualSpacing/>
      </w:pPr>
      <w:r>
        <w:rPr>
          <w:b/>
        </w:rPr>
        <w:t xml:space="preserve">I. </w:t>
      </w:r>
      <w:r>
        <w:rPr>
          <w:b/>
        </w:rPr>
        <w:tab/>
        <w:t>Overview</w:t>
      </w:r>
    </w:p>
    <w:p w:rsidR="00502743" w:rsidRDefault="00F9698A">
      <w:pPr>
        <w:pStyle w:val="DefaultStyle"/>
        <w:contextualSpacing/>
      </w:pPr>
      <w:r>
        <w:rPr>
          <w:b/>
        </w:rPr>
        <w:t xml:space="preserve"> </w:t>
      </w:r>
    </w:p>
    <w:p w:rsidR="00502743" w:rsidRDefault="00F9698A">
      <w:pPr>
        <w:pStyle w:val="DefaultStyle"/>
        <w:contextualSpacing/>
      </w:pPr>
      <w:r>
        <w:tab/>
        <w:t>A.</w:t>
      </w:r>
      <w:r>
        <w:tab/>
        <w:t>FOCI Spring Moorings April 29 – May 11, 2013</w:t>
      </w:r>
    </w:p>
    <w:p w:rsidR="00502743" w:rsidRDefault="00F9698A">
      <w:pPr>
        <w:pStyle w:val="DefaultStyle"/>
        <w:contextualSpacing/>
      </w:pPr>
      <w:r>
        <w:t xml:space="preserve"> </w:t>
      </w:r>
    </w:p>
    <w:p w:rsidR="00502743" w:rsidRDefault="00F9698A">
      <w:pPr>
        <w:pStyle w:val="DefaultStyle"/>
        <w:contextualSpacing/>
      </w:pPr>
      <w:r>
        <w:rPr>
          <w:bCs/>
        </w:rPr>
        <w:tab/>
        <w:t>B.</w:t>
      </w:r>
      <w:r>
        <w:rPr>
          <w:bCs/>
        </w:rPr>
        <w:tab/>
        <w:t xml:space="preserve">Service Level Agreements </w:t>
      </w:r>
      <w:r>
        <w:rPr>
          <w:b/>
          <w:bCs/>
          <w:color w:val="FF0000"/>
        </w:rPr>
        <w:t xml:space="preserve"> </w:t>
      </w:r>
    </w:p>
    <w:p w:rsidR="00502743" w:rsidRDefault="00F9698A">
      <w:pPr>
        <w:pStyle w:val="DefaultStyle"/>
        <w:ind w:left="1440"/>
        <w:contextualSpacing/>
      </w:pPr>
      <w:r>
        <w:rPr>
          <w:bCs/>
        </w:rPr>
        <w:t xml:space="preserve">Of the 13 DAS scheduled for this project, 0 DAS are funded by the program and 13 DAS are funded by OMAO.   This project is estimated to exhibit a High Operational Tempo. </w:t>
      </w:r>
    </w:p>
    <w:p w:rsidR="00502743" w:rsidRDefault="00F9698A">
      <w:pPr>
        <w:pStyle w:val="DefaultStyle"/>
        <w:ind w:left="1440"/>
        <w:contextualSpacing/>
      </w:pPr>
      <w:r>
        <w:rPr>
          <w:bCs/>
          <w:color w:val="0000FF"/>
        </w:rPr>
        <w:t xml:space="preserve"> </w:t>
      </w:r>
    </w:p>
    <w:p w:rsidR="00502743" w:rsidRDefault="00F9698A">
      <w:pPr>
        <w:pStyle w:val="DefaultStyle"/>
        <w:contextualSpacing/>
      </w:pPr>
      <w:r>
        <w:tab/>
        <w:t>C.</w:t>
      </w:r>
      <w:r>
        <w:tab/>
        <w:t>Operating Area (include optional map/figure showing op area)</w:t>
      </w:r>
    </w:p>
    <w:p w:rsidR="00502743" w:rsidRDefault="00502743">
      <w:pPr>
        <w:pStyle w:val="DefaultStyle"/>
        <w:contextualSpacing/>
      </w:pPr>
    </w:p>
    <w:p w:rsidR="00502743" w:rsidRDefault="00F9698A">
      <w:pPr>
        <w:pStyle w:val="DefaultStyle"/>
        <w:contextualSpacing/>
      </w:pPr>
      <w:r>
        <w:tab/>
      </w:r>
      <w:r>
        <w:tab/>
        <w:t>Gulf of Alaska and Eastern Bering Sea - map shown below:</w:t>
      </w:r>
    </w:p>
    <w:p w:rsidR="006D141A" w:rsidRDefault="006D141A">
      <w:pPr>
        <w:pStyle w:val="DefaultStyle"/>
        <w:contextualSpacing/>
      </w:pPr>
    </w:p>
    <w:p w:rsidR="006D141A" w:rsidRDefault="006D141A">
      <w:pPr>
        <w:pStyle w:val="DefaultStyle"/>
        <w:contextualSpacing/>
      </w:pPr>
    </w:p>
    <w:p w:rsidR="006D141A" w:rsidRDefault="00734320">
      <w:pPr>
        <w:pStyle w:val="DefaultStyle"/>
        <w:contextualSpacing/>
      </w:pPr>
      <w:r>
        <w:rPr>
          <w:noProof/>
        </w:rPr>
        <w:drawing>
          <wp:inline distT="0" distB="0" distL="0" distR="0">
            <wp:extent cx="5943600" cy="4563745"/>
            <wp:effectExtent l="19050" t="0" r="0" b="0"/>
            <wp:docPr id="1" name="Picture 0" descr="dy1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1305.png"/>
                    <pic:cNvPicPr/>
                  </pic:nvPicPr>
                  <pic:blipFill>
                    <a:blip r:embed="rId8" cstate="print"/>
                    <a:stretch>
                      <a:fillRect/>
                    </a:stretch>
                  </pic:blipFill>
                  <pic:spPr>
                    <a:xfrm>
                      <a:off x="0" y="0"/>
                      <a:ext cx="5943600" cy="4563745"/>
                    </a:xfrm>
                    <a:prstGeom prst="rect">
                      <a:avLst/>
                    </a:prstGeom>
                  </pic:spPr>
                </pic:pic>
              </a:graphicData>
            </a:graphic>
          </wp:inline>
        </w:drawing>
      </w:r>
    </w:p>
    <w:p w:rsidR="00502743" w:rsidRDefault="00502743">
      <w:pPr>
        <w:pStyle w:val="DefaultStyle"/>
        <w:contextualSpacing/>
      </w:pPr>
    </w:p>
    <w:p w:rsidR="00502743" w:rsidRDefault="00502743">
      <w:pPr>
        <w:pStyle w:val="DefaultStyle"/>
        <w:contextualSpacing/>
        <w:jc w:val="center"/>
      </w:pPr>
    </w:p>
    <w:p w:rsidR="00502743" w:rsidRDefault="00502743">
      <w:pPr>
        <w:pStyle w:val="DefaultStyle"/>
        <w:contextualSpacing/>
      </w:pPr>
    </w:p>
    <w:p w:rsidR="00502743" w:rsidRDefault="00F9698A">
      <w:pPr>
        <w:pStyle w:val="DefaultStyle"/>
        <w:ind w:left="720"/>
        <w:contextualSpacing/>
      </w:pPr>
      <w:r>
        <w:t>D.</w:t>
      </w:r>
      <w:r>
        <w:tab/>
        <w:t>Summary of Objectives:</w:t>
      </w:r>
    </w:p>
    <w:p w:rsidR="00502743" w:rsidRDefault="00502743">
      <w:pPr>
        <w:pStyle w:val="DefaultStyle"/>
        <w:ind w:left="720"/>
        <w:contextualSpacing/>
      </w:pPr>
    </w:p>
    <w:p w:rsidR="00502743" w:rsidRDefault="00F9698A">
      <w:pPr>
        <w:pStyle w:val="DefaultStyle"/>
        <w:ind w:left="1455"/>
        <w:contextualSpacing/>
      </w:pPr>
      <w:r>
        <w:t xml:space="preserve">The primary objectives of this cruise will be to deploy and recover moorings in several locations in the Gulf of Alaska and the Bering Sea.  Upon leaving Seward, 5 moorings will be deployed in the Gulf of Alaska in and around Gore Point.  CTDs will be conducted after each deployment.  The cruise will then proceed towards the Bering Sea, stopping along the way at </w:t>
      </w:r>
      <w:proofErr w:type="spellStart"/>
      <w:r>
        <w:t>Pavlof</w:t>
      </w:r>
      <w:proofErr w:type="spellEnd"/>
      <w:r>
        <w:t xml:space="preserve"> Bay to recover and deploy the mooring there.  If time allows, the “Unimak Box” of CTDs will be conducted prior to entering the Bering Sea.  Upon entering the Bering Sea, several drifters will be deployed.  Weather permitting, mooring deployments for the Bering will start at Site 2 and work northward.  Recoveries and deployments are planned for site 2 and 4 with multiple CTDs and bongo-tows planned for each site.  </w:t>
      </w:r>
      <w:r w:rsidR="00B03A69">
        <w:t xml:space="preserve">In-between site 2 and 4, the 70m CTD line will be followed and sampled if time permits.  Also, if the ice is clear north of Site 4 some sampling may occur on the 70m Line northward.  Additionally CTD’s may be taken at the “Dog Leg Line” if time permits. </w:t>
      </w:r>
    </w:p>
    <w:p w:rsidR="00502743" w:rsidRDefault="00502743">
      <w:pPr>
        <w:pStyle w:val="DefaultStyle"/>
        <w:contextualSpacing/>
      </w:pPr>
    </w:p>
    <w:p w:rsidR="00502743" w:rsidRDefault="00F9698A">
      <w:pPr>
        <w:pStyle w:val="DefaultStyle"/>
        <w:contextualSpacing/>
      </w:pPr>
      <w:r>
        <w:tab/>
        <w:t xml:space="preserve">E. </w:t>
      </w:r>
      <w:r>
        <w:tab/>
        <w:t xml:space="preserve">Participating Institutions: </w:t>
      </w:r>
    </w:p>
    <w:p w:rsidR="00502743" w:rsidRDefault="00502743">
      <w:pPr>
        <w:pStyle w:val="DefaultStyle"/>
        <w:contextualSpacing/>
      </w:pPr>
    </w:p>
    <w:p w:rsidR="00502743" w:rsidRDefault="00F9698A">
      <w:pPr>
        <w:pStyle w:val="DefaultStyle"/>
        <w:ind w:left="1455"/>
        <w:contextualSpacing/>
      </w:pPr>
      <w:r>
        <w:t>NOAA - Pacific Marine Environmental Laboratory (PMEL)</w:t>
      </w:r>
    </w:p>
    <w:p w:rsidR="00502743" w:rsidRDefault="00F9698A">
      <w:pPr>
        <w:pStyle w:val="DefaultStyle"/>
        <w:ind w:left="1455"/>
        <w:contextualSpacing/>
      </w:pPr>
      <w:r>
        <w:t>7600 Sand Point Way N.E., Seattle, Washington 98115-6439</w:t>
      </w:r>
    </w:p>
    <w:p w:rsidR="00502743" w:rsidRDefault="00502743">
      <w:pPr>
        <w:pStyle w:val="DefaultStyle"/>
        <w:ind w:left="1455"/>
        <w:contextualSpacing/>
      </w:pPr>
    </w:p>
    <w:p w:rsidR="00502743" w:rsidRDefault="00F9698A">
      <w:pPr>
        <w:pStyle w:val="DefaultStyle"/>
        <w:ind w:left="1455"/>
        <w:contextualSpacing/>
      </w:pPr>
      <w:r>
        <w:t>NOAA - Alaska Fisheries Science Center (AFSC)</w:t>
      </w:r>
    </w:p>
    <w:p w:rsidR="00502743" w:rsidRDefault="00F9698A">
      <w:pPr>
        <w:pStyle w:val="DefaultStyle"/>
        <w:ind w:left="1455"/>
        <w:contextualSpacing/>
      </w:pPr>
      <w:r>
        <w:t>7600 Sand Point Way N.E., Seattle, Washington 98115-0070</w:t>
      </w:r>
    </w:p>
    <w:p w:rsidR="00502743" w:rsidRDefault="00502743">
      <w:pPr>
        <w:pStyle w:val="DefaultStyle"/>
        <w:ind w:left="1455"/>
        <w:contextualSpacing/>
      </w:pPr>
    </w:p>
    <w:p w:rsidR="00502743" w:rsidRDefault="00F9698A">
      <w:pPr>
        <w:pStyle w:val="DefaultStyle"/>
        <w:ind w:left="1455"/>
        <w:contextualSpacing/>
      </w:pPr>
      <w:r>
        <w:t>University of Alaska (UAF)</w:t>
      </w:r>
    </w:p>
    <w:p w:rsidR="00502743" w:rsidRDefault="00F9698A">
      <w:pPr>
        <w:pStyle w:val="DefaultStyle"/>
        <w:ind w:left="1455"/>
        <w:contextualSpacing/>
      </w:pPr>
      <w:r>
        <w:t xml:space="preserve">505 South </w:t>
      </w:r>
      <w:proofErr w:type="spellStart"/>
      <w:r>
        <w:t>Chandalar</w:t>
      </w:r>
      <w:proofErr w:type="spellEnd"/>
      <w:r>
        <w:t xml:space="preserve"> Drive</w:t>
      </w:r>
    </w:p>
    <w:p w:rsidR="00502743" w:rsidRDefault="00F9698A">
      <w:pPr>
        <w:pStyle w:val="DefaultStyle"/>
        <w:ind w:left="1455"/>
        <w:contextualSpacing/>
      </w:pPr>
      <w:r>
        <w:t>Fairbanks, AK 99775</w:t>
      </w:r>
    </w:p>
    <w:p w:rsidR="00502743" w:rsidRDefault="00502743">
      <w:pPr>
        <w:pStyle w:val="DefaultStyle"/>
        <w:ind w:left="1455"/>
        <w:contextualSpacing/>
      </w:pPr>
    </w:p>
    <w:p w:rsidR="00502743" w:rsidRDefault="00F9698A">
      <w:pPr>
        <w:pStyle w:val="DefaultStyle"/>
        <w:contextualSpacing/>
      </w:pPr>
      <w:r>
        <w:tab/>
        <w:t>F.</w:t>
      </w:r>
      <w:r>
        <w:tab/>
        <w:t xml:space="preserve">Personnel/Science Party: </w:t>
      </w:r>
    </w:p>
    <w:p w:rsidR="00055E1A" w:rsidRDefault="00055E1A">
      <w:pPr>
        <w:pStyle w:val="DefaultStyle"/>
        <w:contextualSpacing/>
      </w:pPr>
    </w:p>
    <w:p w:rsidR="00502743" w:rsidRDefault="00502743">
      <w:pPr>
        <w:pStyle w:val="DefaultStyle"/>
        <w:ind w:left="720"/>
        <w:contextualSpacing/>
      </w:pPr>
    </w:p>
    <w:tbl>
      <w:tblPr>
        <w:tblW w:w="0" w:type="auto"/>
        <w:tblInd w:w="-97" w:type="dxa"/>
        <w:tblBorders>
          <w:top w:val="single" w:sz="4" w:space="0" w:color="000001"/>
          <w:left w:val="single" w:sz="4" w:space="0" w:color="000001"/>
          <w:bottom w:val="single" w:sz="4" w:space="0" w:color="000001"/>
          <w:insideH w:val="single" w:sz="4" w:space="0" w:color="000001"/>
        </w:tblBorders>
        <w:tblCellMar>
          <w:left w:w="83" w:type="dxa"/>
        </w:tblCellMar>
        <w:tblLook w:val="0000"/>
      </w:tblPr>
      <w:tblGrid>
        <w:gridCol w:w="2157"/>
        <w:gridCol w:w="1431"/>
        <w:gridCol w:w="1074"/>
        <w:gridCol w:w="1325"/>
        <w:gridCol w:w="965"/>
        <w:gridCol w:w="1245"/>
        <w:gridCol w:w="1338"/>
      </w:tblGrid>
      <w:tr w:rsidR="00502743">
        <w:tc>
          <w:tcPr>
            <w:tcW w:w="215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rPr>
                <w:b/>
              </w:rPr>
              <w:t>Name (Last, First)</w:t>
            </w:r>
          </w:p>
        </w:tc>
        <w:tc>
          <w:tcPr>
            <w:tcW w:w="1431"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rPr>
                <w:b/>
              </w:rPr>
              <w:t>Title</w:t>
            </w:r>
          </w:p>
        </w:tc>
        <w:tc>
          <w:tcPr>
            <w:tcW w:w="1074"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rPr>
                <w:b/>
              </w:rPr>
              <w:t xml:space="preserve">Date Aboard </w:t>
            </w:r>
          </w:p>
        </w:tc>
        <w:tc>
          <w:tcPr>
            <w:tcW w:w="1260"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rPr>
                <w:b/>
              </w:rPr>
              <w:t>Date Disembark</w:t>
            </w:r>
          </w:p>
        </w:tc>
        <w:tc>
          <w:tcPr>
            <w:tcW w:w="92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rPr>
                <w:b/>
              </w:rPr>
              <w:t>Gender</w:t>
            </w:r>
          </w:p>
        </w:tc>
        <w:tc>
          <w:tcPr>
            <w:tcW w:w="1182"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rPr>
                <w:b/>
              </w:rPr>
              <w:t>Affiliation</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rPr>
                <w:b/>
              </w:rPr>
              <w:t>Nationality</w:t>
            </w:r>
          </w:p>
        </w:tc>
      </w:tr>
      <w:tr w:rsidR="00502743">
        <w:tc>
          <w:tcPr>
            <w:tcW w:w="215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 xml:space="preserve">William </w:t>
            </w:r>
            <w:proofErr w:type="spellStart"/>
            <w:r>
              <w:t>Floering</w:t>
            </w:r>
            <w:proofErr w:type="spellEnd"/>
          </w:p>
        </w:tc>
        <w:tc>
          <w:tcPr>
            <w:tcW w:w="1431"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Chief Sci.</w:t>
            </w:r>
          </w:p>
        </w:tc>
        <w:tc>
          <w:tcPr>
            <w:tcW w:w="1074"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M</w:t>
            </w:r>
          </w:p>
        </w:tc>
        <w:tc>
          <w:tcPr>
            <w:tcW w:w="1182"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PMEL</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502743">
        <w:tc>
          <w:tcPr>
            <w:tcW w:w="215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Carol DeWitt</w:t>
            </w:r>
          </w:p>
        </w:tc>
        <w:tc>
          <w:tcPr>
            <w:tcW w:w="1431"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proofErr w:type="spellStart"/>
            <w:r>
              <w:t>Sci</w:t>
            </w:r>
            <w:proofErr w:type="spellEnd"/>
          </w:p>
        </w:tc>
        <w:tc>
          <w:tcPr>
            <w:tcW w:w="1074"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F</w:t>
            </w:r>
          </w:p>
        </w:tc>
        <w:tc>
          <w:tcPr>
            <w:tcW w:w="1182"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PMEL</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502743">
        <w:tc>
          <w:tcPr>
            <w:tcW w:w="215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 xml:space="preserve">Scott </w:t>
            </w:r>
            <w:proofErr w:type="spellStart"/>
            <w:r>
              <w:t>McKeever</w:t>
            </w:r>
            <w:proofErr w:type="spellEnd"/>
          </w:p>
        </w:tc>
        <w:tc>
          <w:tcPr>
            <w:tcW w:w="1431"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proofErr w:type="spellStart"/>
            <w:r>
              <w:t>Sci</w:t>
            </w:r>
            <w:proofErr w:type="spellEnd"/>
          </w:p>
        </w:tc>
        <w:tc>
          <w:tcPr>
            <w:tcW w:w="1074"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M</w:t>
            </w:r>
          </w:p>
        </w:tc>
        <w:tc>
          <w:tcPr>
            <w:tcW w:w="1182"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PMEL</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502743">
        <w:tc>
          <w:tcPr>
            <w:tcW w:w="215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 xml:space="preserve">Kathy </w:t>
            </w:r>
            <w:proofErr w:type="spellStart"/>
            <w:r>
              <w:t>Mier</w:t>
            </w:r>
            <w:proofErr w:type="spellEnd"/>
          </w:p>
        </w:tc>
        <w:tc>
          <w:tcPr>
            <w:tcW w:w="1431"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proofErr w:type="spellStart"/>
            <w:r>
              <w:t>Sci</w:t>
            </w:r>
            <w:proofErr w:type="spellEnd"/>
          </w:p>
        </w:tc>
        <w:tc>
          <w:tcPr>
            <w:tcW w:w="1074"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F</w:t>
            </w:r>
          </w:p>
        </w:tc>
        <w:tc>
          <w:tcPr>
            <w:tcW w:w="1182"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AFSC</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502743">
        <w:tc>
          <w:tcPr>
            <w:tcW w:w="215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Matthew Wilson</w:t>
            </w:r>
          </w:p>
        </w:tc>
        <w:tc>
          <w:tcPr>
            <w:tcW w:w="1431"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proofErr w:type="spellStart"/>
            <w:r>
              <w:t>Sci</w:t>
            </w:r>
            <w:proofErr w:type="spellEnd"/>
          </w:p>
        </w:tc>
        <w:tc>
          <w:tcPr>
            <w:tcW w:w="1074"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M</w:t>
            </w:r>
          </w:p>
        </w:tc>
        <w:tc>
          <w:tcPr>
            <w:tcW w:w="1182" w:type="dxa"/>
            <w:tcBorders>
              <w:top w:val="single" w:sz="4" w:space="0" w:color="000001"/>
              <w:left w:val="single" w:sz="4" w:space="0" w:color="000001"/>
              <w:bottom w:val="single" w:sz="4" w:space="0" w:color="000001"/>
            </w:tcBorders>
            <w:shd w:val="clear" w:color="auto" w:fill="FFFFFF"/>
            <w:tcMar>
              <w:left w:w="83" w:type="dxa"/>
            </w:tcMar>
          </w:tcPr>
          <w:p w:rsidR="00502743" w:rsidRDefault="00F9698A">
            <w:pPr>
              <w:pStyle w:val="DefaultStyle"/>
              <w:contextualSpacing/>
            </w:pPr>
            <w:r>
              <w:t>AFSC</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502743">
        <w:tc>
          <w:tcPr>
            <w:tcW w:w="2157" w:type="dxa"/>
            <w:tcBorders>
              <w:left w:val="single" w:sz="4" w:space="0" w:color="000001"/>
              <w:bottom w:val="single" w:sz="4" w:space="0" w:color="000001"/>
            </w:tcBorders>
            <w:shd w:val="clear" w:color="auto" w:fill="FFFFFF"/>
            <w:tcMar>
              <w:left w:w="83" w:type="dxa"/>
            </w:tcMar>
          </w:tcPr>
          <w:p w:rsidR="00502743" w:rsidRDefault="00F9698A">
            <w:pPr>
              <w:pStyle w:val="DefaultStyle"/>
              <w:contextualSpacing/>
            </w:pPr>
            <w:r>
              <w:t xml:space="preserve">Dan </w:t>
            </w:r>
            <w:proofErr w:type="spellStart"/>
            <w:r>
              <w:t>Naber</w:t>
            </w:r>
            <w:proofErr w:type="spellEnd"/>
          </w:p>
        </w:tc>
        <w:tc>
          <w:tcPr>
            <w:tcW w:w="1431" w:type="dxa"/>
            <w:tcBorders>
              <w:left w:val="single" w:sz="4" w:space="0" w:color="000001"/>
              <w:bottom w:val="single" w:sz="4" w:space="0" w:color="000001"/>
            </w:tcBorders>
            <w:shd w:val="clear" w:color="auto" w:fill="FFFFFF"/>
            <w:tcMar>
              <w:left w:w="83" w:type="dxa"/>
            </w:tcMar>
          </w:tcPr>
          <w:p w:rsidR="00502743" w:rsidRDefault="00F9698A">
            <w:pPr>
              <w:pStyle w:val="DefaultStyle"/>
              <w:contextualSpacing/>
            </w:pPr>
            <w:proofErr w:type="spellStart"/>
            <w:r>
              <w:t>Sci</w:t>
            </w:r>
            <w:proofErr w:type="spellEnd"/>
          </w:p>
        </w:tc>
        <w:tc>
          <w:tcPr>
            <w:tcW w:w="1074" w:type="dxa"/>
            <w:tcBorders>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left w:val="single" w:sz="4" w:space="0" w:color="000001"/>
              <w:bottom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left w:val="single" w:sz="4" w:space="0" w:color="000001"/>
              <w:bottom w:val="single" w:sz="4" w:space="0" w:color="000001"/>
            </w:tcBorders>
            <w:shd w:val="clear" w:color="auto" w:fill="FFFFFF"/>
            <w:tcMar>
              <w:left w:w="83" w:type="dxa"/>
            </w:tcMar>
          </w:tcPr>
          <w:p w:rsidR="00502743" w:rsidRDefault="00F9698A">
            <w:pPr>
              <w:pStyle w:val="DefaultStyle"/>
              <w:contextualSpacing/>
            </w:pPr>
            <w:r>
              <w:t>M</w:t>
            </w:r>
          </w:p>
        </w:tc>
        <w:tc>
          <w:tcPr>
            <w:tcW w:w="1182" w:type="dxa"/>
            <w:tcBorders>
              <w:left w:val="single" w:sz="4" w:space="0" w:color="000001"/>
              <w:bottom w:val="single" w:sz="4" w:space="0" w:color="000001"/>
            </w:tcBorders>
            <w:shd w:val="clear" w:color="auto" w:fill="FFFFFF"/>
            <w:tcMar>
              <w:left w:w="83" w:type="dxa"/>
            </w:tcMar>
          </w:tcPr>
          <w:p w:rsidR="00502743" w:rsidRDefault="00F9698A">
            <w:pPr>
              <w:pStyle w:val="DefaultStyle"/>
              <w:contextualSpacing/>
            </w:pPr>
            <w:r>
              <w:t>UAF</w:t>
            </w:r>
          </w:p>
        </w:tc>
        <w:tc>
          <w:tcPr>
            <w:tcW w:w="1275" w:type="dxa"/>
            <w:tcBorders>
              <w:left w:val="single" w:sz="4" w:space="0" w:color="000001"/>
              <w:bottom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502743" w:rsidTr="00F9698A">
        <w:tc>
          <w:tcPr>
            <w:tcW w:w="2157" w:type="dxa"/>
            <w:tcBorders>
              <w:left w:val="single" w:sz="4" w:space="0" w:color="000001"/>
            </w:tcBorders>
            <w:shd w:val="clear" w:color="auto" w:fill="FFFFFF"/>
            <w:tcMar>
              <w:left w:w="83" w:type="dxa"/>
            </w:tcMar>
          </w:tcPr>
          <w:p w:rsidR="00502743" w:rsidRDefault="00502743">
            <w:pPr>
              <w:pStyle w:val="DefaultStyle"/>
              <w:contextualSpacing/>
            </w:pPr>
          </w:p>
        </w:tc>
        <w:tc>
          <w:tcPr>
            <w:tcW w:w="1431" w:type="dxa"/>
            <w:tcBorders>
              <w:left w:val="single" w:sz="4" w:space="0" w:color="000001"/>
            </w:tcBorders>
            <w:shd w:val="clear" w:color="auto" w:fill="FFFFFF"/>
            <w:tcMar>
              <w:left w:w="83" w:type="dxa"/>
            </w:tcMar>
          </w:tcPr>
          <w:p w:rsidR="00502743" w:rsidRDefault="00F9698A">
            <w:pPr>
              <w:pStyle w:val="DefaultStyle"/>
              <w:contextualSpacing/>
            </w:pPr>
            <w:proofErr w:type="spellStart"/>
            <w:r>
              <w:t>Sci</w:t>
            </w:r>
            <w:proofErr w:type="spellEnd"/>
            <w:r>
              <w:t xml:space="preserve"> </w:t>
            </w:r>
          </w:p>
        </w:tc>
        <w:tc>
          <w:tcPr>
            <w:tcW w:w="1074" w:type="dxa"/>
            <w:tcBorders>
              <w:left w:val="single" w:sz="4" w:space="0" w:color="000001"/>
            </w:tcBorders>
            <w:shd w:val="clear" w:color="auto" w:fill="FFFFFF"/>
            <w:tcMar>
              <w:left w:w="83" w:type="dxa"/>
            </w:tcMar>
          </w:tcPr>
          <w:p w:rsidR="00502743" w:rsidRDefault="00F9698A">
            <w:pPr>
              <w:pStyle w:val="DefaultStyle"/>
              <w:contextualSpacing/>
            </w:pPr>
            <w:r>
              <w:t>TBD</w:t>
            </w:r>
          </w:p>
        </w:tc>
        <w:tc>
          <w:tcPr>
            <w:tcW w:w="1260" w:type="dxa"/>
            <w:tcBorders>
              <w:left w:val="single" w:sz="4" w:space="0" w:color="000001"/>
            </w:tcBorders>
            <w:shd w:val="clear" w:color="auto" w:fill="FFFFFF"/>
            <w:tcMar>
              <w:left w:w="83" w:type="dxa"/>
            </w:tcMar>
          </w:tcPr>
          <w:p w:rsidR="00502743" w:rsidRDefault="00F9698A">
            <w:pPr>
              <w:pStyle w:val="DefaultStyle"/>
              <w:contextualSpacing/>
            </w:pPr>
            <w:r>
              <w:t>TBD</w:t>
            </w:r>
          </w:p>
        </w:tc>
        <w:tc>
          <w:tcPr>
            <w:tcW w:w="927" w:type="dxa"/>
            <w:tcBorders>
              <w:left w:val="single" w:sz="4" w:space="0" w:color="000001"/>
            </w:tcBorders>
            <w:shd w:val="clear" w:color="auto" w:fill="FFFFFF"/>
            <w:tcMar>
              <w:left w:w="83" w:type="dxa"/>
            </w:tcMar>
          </w:tcPr>
          <w:p w:rsidR="00502743" w:rsidRDefault="00502743">
            <w:pPr>
              <w:pStyle w:val="DefaultStyle"/>
              <w:contextualSpacing/>
            </w:pPr>
          </w:p>
        </w:tc>
        <w:tc>
          <w:tcPr>
            <w:tcW w:w="1182" w:type="dxa"/>
            <w:tcBorders>
              <w:left w:val="single" w:sz="4" w:space="0" w:color="000001"/>
            </w:tcBorders>
            <w:shd w:val="clear" w:color="auto" w:fill="FFFFFF"/>
            <w:tcMar>
              <w:left w:w="83" w:type="dxa"/>
            </w:tcMar>
          </w:tcPr>
          <w:p w:rsidR="00502743" w:rsidRDefault="00F9698A">
            <w:pPr>
              <w:pStyle w:val="DefaultStyle"/>
              <w:contextualSpacing/>
            </w:pPr>
            <w:r>
              <w:t>TBD</w:t>
            </w:r>
          </w:p>
        </w:tc>
        <w:tc>
          <w:tcPr>
            <w:tcW w:w="1275" w:type="dxa"/>
            <w:tcBorders>
              <w:left w:val="single" w:sz="4" w:space="0" w:color="000001"/>
              <w:right w:val="single" w:sz="4" w:space="0" w:color="000001"/>
            </w:tcBorders>
            <w:shd w:val="clear" w:color="auto" w:fill="FFFFFF"/>
            <w:tcMar>
              <w:left w:w="83" w:type="dxa"/>
            </w:tcMar>
          </w:tcPr>
          <w:p w:rsidR="00502743" w:rsidRDefault="00F9698A">
            <w:pPr>
              <w:pStyle w:val="DefaultStyle"/>
              <w:contextualSpacing/>
            </w:pPr>
            <w:r>
              <w:t>USA</w:t>
            </w:r>
          </w:p>
        </w:tc>
      </w:tr>
      <w:tr w:rsidR="00F9698A" w:rsidTr="00F9698A">
        <w:tc>
          <w:tcPr>
            <w:tcW w:w="2157" w:type="dxa"/>
            <w:tcBorders>
              <w:left w:val="single" w:sz="4" w:space="0" w:color="000001"/>
            </w:tcBorders>
            <w:shd w:val="clear" w:color="auto" w:fill="FFFFFF"/>
            <w:tcMar>
              <w:left w:w="83" w:type="dxa"/>
            </w:tcMar>
          </w:tcPr>
          <w:p w:rsidR="00F9698A" w:rsidRDefault="00F9698A">
            <w:pPr>
              <w:pStyle w:val="DefaultStyle"/>
              <w:contextualSpacing/>
            </w:pPr>
          </w:p>
        </w:tc>
        <w:tc>
          <w:tcPr>
            <w:tcW w:w="1431" w:type="dxa"/>
            <w:tcBorders>
              <w:left w:val="single" w:sz="4" w:space="0" w:color="000001"/>
            </w:tcBorders>
            <w:shd w:val="clear" w:color="auto" w:fill="FFFFFF"/>
            <w:tcMar>
              <w:left w:w="83" w:type="dxa"/>
            </w:tcMar>
          </w:tcPr>
          <w:p w:rsidR="00F9698A" w:rsidRDefault="00F9698A">
            <w:pPr>
              <w:pStyle w:val="DefaultStyle"/>
              <w:contextualSpacing/>
            </w:pPr>
            <w:proofErr w:type="spellStart"/>
            <w:r>
              <w:t>Sci</w:t>
            </w:r>
            <w:proofErr w:type="spellEnd"/>
          </w:p>
        </w:tc>
        <w:tc>
          <w:tcPr>
            <w:tcW w:w="1074" w:type="dxa"/>
            <w:tcBorders>
              <w:left w:val="single" w:sz="4" w:space="0" w:color="000001"/>
            </w:tcBorders>
            <w:shd w:val="clear" w:color="auto" w:fill="FFFFFF"/>
            <w:tcMar>
              <w:left w:w="83" w:type="dxa"/>
            </w:tcMar>
          </w:tcPr>
          <w:p w:rsidR="00F9698A" w:rsidRDefault="00F9698A">
            <w:pPr>
              <w:pStyle w:val="DefaultStyle"/>
              <w:contextualSpacing/>
            </w:pPr>
            <w:r>
              <w:t>TBD</w:t>
            </w:r>
          </w:p>
        </w:tc>
        <w:tc>
          <w:tcPr>
            <w:tcW w:w="1260" w:type="dxa"/>
            <w:tcBorders>
              <w:left w:val="single" w:sz="4" w:space="0" w:color="000001"/>
            </w:tcBorders>
            <w:shd w:val="clear" w:color="auto" w:fill="FFFFFF"/>
            <w:tcMar>
              <w:left w:w="83" w:type="dxa"/>
            </w:tcMar>
          </w:tcPr>
          <w:p w:rsidR="00F9698A" w:rsidRDefault="00F9698A">
            <w:pPr>
              <w:pStyle w:val="DefaultStyle"/>
              <w:contextualSpacing/>
            </w:pPr>
            <w:r>
              <w:t>TBD</w:t>
            </w:r>
          </w:p>
        </w:tc>
        <w:tc>
          <w:tcPr>
            <w:tcW w:w="927" w:type="dxa"/>
            <w:tcBorders>
              <w:left w:val="single" w:sz="4" w:space="0" w:color="000001"/>
            </w:tcBorders>
            <w:shd w:val="clear" w:color="auto" w:fill="FFFFFF"/>
            <w:tcMar>
              <w:left w:w="83" w:type="dxa"/>
            </w:tcMar>
          </w:tcPr>
          <w:p w:rsidR="00F9698A" w:rsidRDefault="00F9698A">
            <w:pPr>
              <w:pStyle w:val="DefaultStyle"/>
              <w:contextualSpacing/>
            </w:pPr>
          </w:p>
        </w:tc>
        <w:tc>
          <w:tcPr>
            <w:tcW w:w="1182" w:type="dxa"/>
            <w:tcBorders>
              <w:left w:val="single" w:sz="4" w:space="0" w:color="000001"/>
            </w:tcBorders>
            <w:shd w:val="clear" w:color="auto" w:fill="FFFFFF"/>
            <w:tcMar>
              <w:left w:w="83" w:type="dxa"/>
            </w:tcMar>
          </w:tcPr>
          <w:p w:rsidR="00F9698A" w:rsidRDefault="00F9698A">
            <w:pPr>
              <w:pStyle w:val="DefaultStyle"/>
              <w:contextualSpacing/>
            </w:pPr>
            <w:r>
              <w:t>TBD</w:t>
            </w:r>
          </w:p>
        </w:tc>
        <w:tc>
          <w:tcPr>
            <w:tcW w:w="1275" w:type="dxa"/>
            <w:tcBorders>
              <w:left w:val="single" w:sz="4" w:space="0" w:color="000001"/>
              <w:right w:val="single" w:sz="4" w:space="0" w:color="000001"/>
            </w:tcBorders>
            <w:shd w:val="clear" w:color="auto" w:fill="FFFFFF"/>
            <w:tcMar>
              <w:left w:w="83" w:type="dxa"/>
            </w:tcMar>
          </w:tcPr>
          <w:p w:rsidR="00F9698A" w:rsidRDefault="00F9698A">
            <w:pPr>
              <w:pStyle w:val="DefaultStyle"/>
              <w:contextualSpacing/>
            </w:pPr>
          </w:p>
        </w:tc>
      </w:tr>
      <w:tr w:rsidR="00F9698A">
        <w:tc>
          <w:tcPr>
            <w:tcW w:w="2157" w:type="dxa"/>
            <w:tcBorders>
              <w:left w:val="single" w:sz="4" w:space="0" w:color="000001"/>
              <w:bottom w:val="single" w:sz="4" w:space="0" w:color="000001"/>
            </w:tcBorders>
            <w:shd w:val="clear" w:color="auto" w:fill="FFFFFF"/>
            <w:tcMar>
              <w:left w:w="83" w:type="dxa"/>
            </w:tcMar>
          </w:tcPr>
          <w:p w:rsidR="00F9698A" w:rsidRDefault="00F9698A">
            <w:pPr>
              <w:pStyle w:val="DefaultStyle"/>
              <w:contextualSpacing/>
            </w:pPr>
          </w:p>
        </w:tc>
        <w:tc>
          <w:tcPr>
            <w:tcW w:w="1431" w:type="dxa"/>
            <w:tcBorders>
              <w:left w:val="single" w:sz="4" w:space="0" w:color="000001"/>
              <w:bottom w:val="single" w:sz="4" w:space="0" w:color="000001"/>
            </w:tcBorders>
            <w:shd w:val="clear" w:color="auto" w:fill="FFFFFF"/>
            <w:tcMar>
              <w:left w:w="83" w:type="dxa"/>
            </w:tcMar>
          </w:tcPr>
          <w:p w:rsidR="00F9698A" w:rsidRDefault="00F9698A">
            <w:pPr>
              <w:pStyle w:val="DefaultStyle"/>
              <w:contextualSpacing/>
            </w:pPr>
            <w:proofErr w:type="spellStart"/>
            <w:r>
              <w:t>Sci</w:t>
            </w:r>
            <w:proofErr w:type="spellEnd"/>
          </w:p>
        </w:tc>
        <w:tc>
          <w:tcPr>
            <w:tcW w:w="1074" w:type="dxa"/>
            <w:tcBorders>
              <w:left w:val="single" w:sz="4" w:space="0" w:color="000001"/>
              <w:bottom w:val="single" w:sz="4" w:space="0" w:color="000001"/>
            </w:tcBorders>
            <w:shd w:val="clear" w:color="auto" w:fill="FFFFFF"/>
            <w:tcMar>
              <w:left w:w="83" w:type="dxa"/>
            </w:tcMar>
          </w:tcPr>
          <w:p w:rsidR="00F9698A" w:rsidRDefault="00F9698A">
            <w:pPr>
              <w:pStyle w:val="DefaultStyle"/>
              <w:contextualSpacing/>
            </w:pPr>
            <w:r>
              <w:t>TBD</w:t>
            </w:r>
          </w:p>
        </w:tc>
        <w:tc>
          <w:tcPr>
            <w:tcW w:w="1260" w:type="dxa"/>
            <w:tcBorders>
              <w:left w:val="single" w:sz="4" w:space="0" w:color="000001"/>
              <w:bottom w:val="single" w:sz="4" w:space="0" w:color="000001"/>
            </w:tcBorders>
            <w:shd w:val="clear" w:color="auto" w:fill="FFFFFF"/>
            <w:tcMar>
              <w:left w:w="83" w:type="dxa"/>
            </w:tcMar>
          </w:tcPr>
          <w:p w:rsidR="00F9698A" w:rsidRDefault="00F9698A">
            <w:pPr>
              <w:pStyle w:val="DefaultStyle"/>
              <w:contextualSpacing/>
            </w:pPr>
            <w:r>
              <w:t>TBD</w:t>
            </w:r>
          </w:p>
        </w:tc>
        <w:tc>
          <w:tcPr>
            <w:tcW w:w="927" w:type="dxa"/>
            <w:tcBorders>
              <w:left w:val="single" w:sz="4" w:space="0" w:color="000001"/>
              <w:bottom w:val="single" w:sz="4" w:space="0" w:color="000001"/>
            </w:tcBorders>
            <w:shd w:val="clear" w:color="auto" w:fill="FFFFFF"/>
            <w:tcMar>
              <w:left w:w="83" w:type="dxa"/>
            </w:tcMar>
          </w:tcPr>
          <w:p w:rsidR="00F9698A" w:rsidRDefault="00F9698A">
            <w:pPr>
              <w:pStyle w:val="DefaultStyle"/>
              <w:contextualSpacing/>
            </w:pPr>
          </w:p>
        </w:tc>
        <w:tc>
          <w:tcPr>
            <w:tcW w:w="1182" w:type="dxa"/>
            <w:tcBorders>
              <w:left w:val="single" w:sz="4" w:space="0" w:color="000001"/>
              <w:bottom w:val="single" w:sz="4" w:space="0" w:color="000001"/>
            </w:tcBorders>
            <w:shd w:val="clear" w:color="auto" w:fill="FFFFFF"/>
            <w:tcMar>
              <w:left w:w="83" w:type="dxa"/>
            </w:tcMar>
          </w:tcPr>
          <w:p w:rsidR="00F9698A" w:rsidRDefault="00F9698A">
            <w:pPr>
              <w:pStyle w:val="DefaultStyle"/>
              <w:contextualSpacing/>
            </w:pPr>
            <w:r>
              <w:t>TBD</w:t>
            </w:r>
          </w:p>
        </w:tc>
        <w:tc>
          <w:tcPr>
            <w:tcW w:w="1275" w:type="dxa"/>
            <w:tcBorders>
              <w:left w:val="single" w:sz="4" w:space="0" w:color="000001"/>
              <w:bottom w:val="single" w:sz="4" w:space="0" w:color="000001"/>
              <w:right w:val="single" w:sz="4" w:space="0" w:color="000001"/>
            </w:tcBorders>
            <w:shd w:val="clear" w:color="auto" w:fill="FFFFFF"/>
            <w:tcMar>
              <w:left w:w="83" w:type="dxa"/>
            </w:tcMar>
          </w:tcPr>
          <w:p w:rsidR="00F9698A" w:rsidRDefault="00F9698A">
            <w:pPr>
              <w:pStyle w:val="DefaultStyle"/>
              <w:contextualSpacing/>
            </w:pPr>
          </w:p>
        </w:tc>
      </w:tr>
    </w:tbl>
    <w:p w:rsidR="00502743" w:rsidRDefault="00502743">
      <w:pPr>
        <w:pStyle w:val="DefaultStyle"/>
        <w:ind w:left="1440"/>
        <w:contextualSpacing/>
      </w:pPr>
    </w:p>
    <w:p w:rsidR="00502743" w:rsidRDefault="00F9698A">
      <w:pPr>
        <w:pStyle w:val="DefaultStyle"/>
        <w:contextualSpacing/>
      </w:pPr>
      <w:r>
        <w:tab/>
        <w:t>G.</w:t>
      </w:r>
      <w:r>
        <w:tab/>
        <w:t xml:space="preserve">Administrative </w:t>
      </w:r>
    </w:p>
    <w:p w:rsidR="00502743" w:rsidRDefault="00F9698A">
      <w:pPr>
        <w:pStyle w:val="DefaultStyle"/>
        <w:ind w:left="2160" w:hanging="720"/>
        <w:contextualSpacing/>
      </w:pPr>
      <w:r>
        <w:t>1.</w:t>
      </w:r>
      <w:r>
        <w:tab/>
        <w:t>Points of Contacts</w:t>
      </w:r>
    </w:p>
    <w:p w:rsidR="00502743" w:rsidRDefault="00502743">
      <w:pPr>
        <w:pStyle w:val="DefaultStyle"/>
      </w:pPr>
    </w:p>
    <w:p w:rsidR="00502743" w:rsidRDefault="00F9698A">
      <w:pPr>
        <w:pStyle w:val="DefaultStyle"/>
        <w:ind w:left="2160"/>
      </w:pPr>
      <w:r>
        <w:rPr>
          <w:sz w:val="22"/>
          <w:szCs w:val="22"/>
        </w:rPr>
        <w:lastRenderedPageBreak/>
        <w:t xml:space="preserve">Bill </w:t>
      </w:r>
      <w:proofErr w:type="spellStart"/>
      <w:r>
        <w:rPr>
          <w:sz w:val="22"/>
          <w:szCs w:val="22"/>
        </w:rPr>
        <w:t>Floering</w:t>
      </w:r>
      <w:proofErr w:type="spellEnd"/>
      <w:r>
        <w:rPr>
          <w:sz w:val="22"/>
          <w:szCs w:val="22"/>
        </w:rPr>
        <w:t xml:space="preserve"> (Chief Scientist), PMEL, 7600 Sand Point Way NE, Bldg 3, Seattle WA 98115, ph: 206-526-6480, William.Floering@noaa.gov </w:t>
      </w:r>
    </w:p>
    <w:p w:rsidR="00502743" w:rsidRDefault="00502743">
      <w:pPr>
        <w:pStyle w:val="DefaultStyle"/>
        <w:ind w:left="2160"/>
      </w:pPr>
    </w:p>
    <w:p w:rsidR="00502743" w:rsidRDefault="00F9698A">
      <w:pPr>
        <w:pStyle w:val="DefaultStyle"/>
        <w:ind w:left="2160"/>
      </w:pPr>
      <w:r>
        <w:rPr>
          <w:sz w:val="22"/>
          <w:szCs w:val="22"/>
        </w:rPr>
        <w:t xml:space="preserve">Janet Duffy-Anderson (Alternate), AFSC, 7600 Sand Point Way NE, Bldg 4, Seattle WA 98115, ph: 206-526-6465, Janet.Duffy-Anderson@noaa.gov </w:t>
      </w:r>
    </w:p>
    <w:p w:rsidR="00502743" w:rsidRDefault="00502743">
      <w:pPr>
        <w:pStyle w:val="DefaultStyle"/>
      </w:pPr>
    </w:p>
    <w:p w:rsidR="00502743" w:rsidRDefault="00F9698A">
      <w:pPr>
        <w:pStyle w:val="DefaultStyle"/>
        <w:ind w:left="2160"/>
      </w:pPr>
      <w:r>
        <w:rPr>
          <w:sz w:val="22"/>
          <w:szCs w:val="22"/>
        </w:rPr>
        <w:t xml:space="preserve">Jeff </w:t>
      </w:r>
      <w:proofErr w:type="spellStart"/>
      <w:r>
        <w:rPr>
          <w:sz w:val="22"/>
          <w:szCs w:val="22"/>
        </w:rPr>
        <w:t>Napp</w:t>
      </w:r>
      <w:proofErr w:type="spellEnd"/>
      <w:r>
        <w:rPr>
          <w:sz w:val="22"/>
          <w:szCs w:val="22"/>
        </w:rPr>
        <w:t xml:space="preserve">, AFSC, 7600 Sand Point Way NE, Bldg 4, Seattle WA 98115, ph: 206-526-4148, Jeff.Napp@noaa.gov </w:t>
      </w:r>
    </w:p>
    <w:p w:rsidR="00502743" w:rsidRDefault="00502743">
      <w:pPr>
        <w:pStyle w:val="DefaultStyle"/>
        <w:ind w:left="2160" w:hanging="720"/>
        <w:contextualSpacing/>
      </w:pPr>
    </w:p>
    <w:p w:rsidR="00502743" w:rsidRDefault="00F9698A">
      <w:pPr>
        <w:pStyle w:val="DefaultStyle"/>
        <w:ind w:left="2160"/>
        <w:contextualSpacing/>
      </w:pPr>
      <w:r>
        <w:t xml:space="preserve">Phyllis </w:t>
      </w:r>
      <w:proofErr w:type="spellStart"/>
      <w:r>
        <w:t>Stabeno</w:t>
      </w:r>
      <w:proofErr w:type="spellEnd"/>
      <w:r>
        <w:t xml:space="preserve">, PMEL, 7600 Sand Point Way NE, Bldg 3, Seattle WA 98115, ph: 206-526-6453, </w:t>
      </w:r>
      <w:r>
        <w:rPr>
          <w:rStyle w:val="InternetLink"/>
          <w:color w:val="000000"/>
          <w:sz w:val="22"/>
          <w:szCs w:val="22"/>
          <w:u w:val="none"/>
        </w:rPr>
        <w:t>Phyllis.Stabeno@noaa.gov</w:t>
      </w:r>
    </w:p>
    <w:p w:rsidR="00502743" w:rsidRDefault="00502743">
      <w:pPr>
        <w:pStyle w:val="DefaultStyle"/>
        <w:ind w:left="2160" w:hanging="720"/>
        <w:contextualSpacing/>
      </w:pPr>
    </w:p>
    <w:p w:rsidR="00502743" w:rsidRDefault="00F9698A">
      <w:pPr>
        <w:pStyle w:val="DefaultStyle"/>
        <w:ind w:left="2160" w:hanging="720"/>
        <w:contextualSpacing/>
      </w:pPr>
      <w:r>
        <w:t>2.</w:t>
      </w:r>
      <w:r>
        <w:tab/>
        <w:t xml:space="preserve">Diplomatic Clearances </w:t>
      </w:r>
    </w:p>
    <w:p w:rsidR="00502743" w:rsidRDefault="00F9698A">
      <w:pPr>
        <w:pStyle w:val="DefaultStyle"/>
        <w:ind w:left="2160"/>
        <w:contextualSpacing/>
      </w:pPr>
      <w:r>
        <w:t>n/a</w:t>
      </w:r>
    </w:p>
    <w:p w:rsidR="00502743" w:rsidRDefault="00F9698A">
      <w:pPr>
        <w:pStyle w:val="DefaultStyle"/>
        <w:contextualSpacing/>
      </w:pPr>
      <w:r>
        <w:tab/>
      </w:r>
      <w:r>
        <w:tab/>
        <w:t>3.</w:t>
      </w:r>
      <w:r>
        <w:tab/>
        <w:t xml:space="preserve">Licenses and Permits </w:t>
      </w:r>
    </w:p>
    <w:p w:rsidR="00502743" w:rsidRDefault="00F9698A">
      <w:pPr>
        <w:pStyle w:val="DefaultStyle"/>
        <w:ind w:left="2160"/>
        <w:contextualSpacing/>
      </w:pPr>
      <w:r>
        <w:t>N/A</w:t>
      </w:r>
    </w:p>
    <w:p w:rsidR="00502743" w:rsidRDefault="00502743">
      <w:pPr>
        <w:pStyle w:val="DefaultStyle"/>
        <w:ind w:left="2160"/>
        <w:contextualSpacing/>
      </w:pPr>
    </w:p>
    <w:p w:rsidR="00502743" w:rsidRDefault="00F9698A">
      <w:pPr>
        <w:pStyle w:val="DefaultStyle"/>
        <w:contextualSpacing/>
      </w:pPr>
      <w:r>
        <w:rPr>
          <w:b/>
        </w:rPr>
        <w:t>II.</w:t>
      </w:r>
      <w:r>
        <w:rPr>
          <w:b/>
        </w:rPr>
        <w:tab/>
        <w:t xml:space="preserve">Operations </w:t>
      </w:r>
    </w:p>
    <w:p w:rsidR="00502743" w:rsidRDefault="00F9698A">
      <w:pPr>
        <w:pStyle w:val="DefaultStyle"/>
        <w:contextualSpacing/>
      </w:pPr>
      <w:r>
        <w:tab/>
        <w:t>A.</w:t>
      </w:r>
      <w:r>
        <w:tab/>
        <w:t xml:space="preserve">Project Itinerary </w:t>
      </w:r>
    </w:p>
    <w:p w:rsidR="00502743" w:rsidRDefault="00F9698A">
      <w:pPr>
        <w:pStyle w:val="DefaultStyle"/>
        <w:contextualSpacing/>
      </w:pPr>
      <w:r>
        <w:tab/>
      </w:r>
      <w:r>
        <w:tab/>
        <w:t>Departure:  April 29, 2013 0900 Seward, AK</w:t>
      </w:r>
    </w:p>
    <w:p w:rsidR="00502743" w:rsidRDefault="00F9698A">
      <w:pPr>
        <w:pStyle w:val="DefaultStyle"/>
        <w:contextualSpacing/>
      </w:pPr>
      <w:r>
        <w:tab/>
      </w:r>
      <w:r>
        <w:tab/>
        <w:t>Arrival:  May 11, 2013 1200 Dutch Harbor, AK</w:t>
      </w:r>
    </w:p>
    <w:p w:rsidR="00502743" w:rsidRDefault="00502743">
      <w:pPr>
        <w:pStyle w:val="DefaultStyle"/>
        <w:contextualSpacing/>
      </w:pPr>
    </w:p>
    <w:p w:rsidR="00502743" w:rsidRDefault="00F9698A">
      <w:pPr>
        <w:pStyle w:val="DefaultStyle"/>
        <w:contextualSpacing/>
      </w:pPr>
      <w:r>
        <w:tab/>
        <w:t>B.</w:t>
      </w:r>
      <w:r>
        <w:tab/>
        <w:t xml:space="preserve">Staging and </w:t>
      </w:r>
      <w:r w:rsidR="008375AF">
        <w:t>De-staging</w:t>
      </w:r>
      <w:r>
        <w:t xml:space="preserve"> </w:t>
      </w:r>
    </w:p>
    <w:p w:rsidR="00502743" w:rsidRDefault="00F9698A">
      <w:pPr>
        <w:pStyle w:val="DefaultStyle"/>
        <w:contextualSpacing/>
      </w:pPr>
      <w:r>
        <w:tab/>
      </w:r>
      <w:r>
        <w:tab/>
      </w:r>
    </w:p>
    <w:p w:rsidR="00502743" w:rsidRDefault="00F9698A">
      <w:pPr>
        <w:pStyle w:val="DefaultStyle"/>
        <w:ind w:left="1440"/>
        <w:contextualSpacing/>
      </w:pPr>
      <w:r>
        <w:t xml:space="preserve">Container with equipment will be shipped directly to Seward from Seattle. Loading shall occur as appropriate before sailing.  The scientific party will arrive at least one day early to assist with loading and preparation.  The scientific party will be responsible for arranging vehicles for transporting themselves and equipment to the ship.  Equipment will be off-loaded in Dutch Harbor and transport to proper shipping avenues will be conducted by the scientific party.  </w:t>
      </w:r>
    </w:p>
    <w:p w:rsidR="00502743" w:rsidRDefault="00502743">
      <w:pPr>
        <w:pStyle w:val="DefaultStyle"/>
        <w:contextualSpacing/>
      </w:pPr>
    </w:p>
    <w:p w:rsidR="00502743" w:rsidRDefault="00F9698A">
      <w:pPr>
        <w:pStyle w:val="DefaultStyle"/>
        <w:ind w:left="750"/>
        <w:contextualSpacing/>
      </w:pPr>
      <w:r>
        <w:t>C.</w:t>
      </w:r>
      <w:r>
        <w:tab/>
        <w:t xml:space="preserve">Operations to be </w:t>
      </w:r>
      <w:proofErr w:type="gramStart"/>
      <w:r>
        <w:t>Conducted</w:t>
      </w:r>
      <w:proofErr w:type="gramEnd"/>
    </w:p>
    <w:p w:rsidR="00502743" w:rsidRDefault="00502743">
      <w:pPr>
        <w:pStyle w:val="DefaultStyle"/>
        <w:contextualSpacing/>
      </w:pPr>
    </w:p>
    <w:p w:rsidR="00502743" w:rsidRDefault="00F9698A">
      <w:pPr>
        <w:pStyle w:val="DefaultStyle"/>
        <w:ind w:left="1455"/>
        <w:contextualSpacing/>
      </w:pPr>
      <w:r>
        <w:t xml:space="preserve">Due to the time of the year that this cruise occurs, the amount of mooring work accomplished and the order of operations will be highly dependent on ice, weather and daylight conditions.  </w:t>
      </w:r>
    </w:p>
    <w:p w:rsidR="00502743" w:rsidRDefault="00502743">
      <w:pPr>
        <w:pStyle w:val="DefaultStyle"/>
        <w:ind w:left="1455"/>
        <w:contextualSpacing/>
      </w:pPr>
    </w:p>
    <w:p w:rsidR="00502743" w:rsidRDefault="00F9698A">
      <w:pPr>
        <w:pStyle w:val="DefaultStyle"/>
        <w:ind w:left="1455"/>
        <w:contextualSpacing/>
      </w:pPr>
      <w:r>
        <w:t xml:space="preserve">The ship will depart on Monday, April 29, 2012 at 0900.  </w:t>
      </w:r>
    </w:p>
    <w:p w:rsidR="00502743" w:rsidRDefault="00502743">
      <w:pPr>
        <w:pStyle w:val="DefaultStyle"/>
        <w:ind w:left="1455"/>
      </w:pPr>
    </w:p>
    <w:p w:rsidR="00502743" w:rsidRDefault="00F9698A">
      <w:pPr>
        <w:pStyle w:val="DefaultStyle"/>
        <w:numPr>
          <w:ilvl w:val="0"/>
          <w:numId w:val="8"/>
        </w:numPr>
        <w:spacing w:after="216"/>
      </w:pPr>
      <w:r>
        <w:rPr>
          <w:b/>
          <w:bCs/>
        </w:rPr>
        <w:t>Gore Point Moorings:</w:t>
      </w:r>
      <w:r>
        <w:t xml:space="preserve">  Three ADCP moorings will be deployed around Gore Point.  A CTD will be taken after each mooring deployment.</w:t>
      </w:r>
    </w:p>
    <w:p w:rsidR="00502743" w:rsidRDefault="00F9698A">
      <w:pPr>
        <w:pStyle w:val="DefaultStyle"/>
        <w:numPr>
          <w:ilvl w:val="0"/>
          <w:numId w:val="8"/>
        </w:numPr>
        <w:spacing w:after="216"/>
      </w:pPr>
      <w:r>
        <w:rPr>
          <w:b/>
          <w:bCs/>
        </w:rPr>
        <w:t xml:space="preserve">Kennedy and Stevenson Moorings:   </w:t>
      </w:r>
      <w:r>
        <w:t>Two ADCP moorings will be deployed in the straits between Afognak Island and the Kenai Peninsula.  A CTD will be taken after each mooring deployment.</w:t>
      </w:r>
    </w:p>
    <w:p w:rsidR="00502743" w:rsidRDefault="00F9698A">
      <w:pPr>
        <w:pStyle w:val="DefaultStyle"/>
        <w:numPr>
          <w:ilvl w:val="0"/>
          <w:numId w:val="8"/>
        </w:numPr>
        <w:spacing w:after="216"/>
      </w:pPr>
      <w:proofErr w:type="spellStart"/>
      <w:r>
        <w:rPr>
          <w:b/>
          <w:bCs/>
        </w:rPr>
        <w:lastRenderedPageBreak/>
        <w:t>Pavlof</w:t>
      </w:r>
      <w:proofErr w:type="spellEnd"/>
      <w:r>
        <w:rPr>
          <w:b/>
          <w:bCs/>
        </w:rPr>
        <w:t xml:space="preserve"> Bay Mooring:</w:t>
      </w:r>
      <w:r>
        <w:t xml:space="preserve">  The mooring in </w:t>
      </w:r>
      <w:proofErr w:type="spellStart"/>
      <w:r>
        <w:t>Pavlof</w:t>
      </w:r>
      <w:proofErr w:type="spellEnd"/>
      <w:r>
        <w:t xml:space="preserve"> Bay will be recovered and then re-deployed.  A CTD will be taken prior to or after mooring recovery.  </w:t>
      </w:r>
    </w:p>
    <w:p w:rsidR="00502743" w:rsidRDefault="00502743">
      <w:pPr>
        <w:pStyle w:val="DefaultStyle"/>
        <w:spacing w:after="216"/>
      </w:pPr>
    </w:p>
    <w:p w:rsidR="00502743" w:rsidRDefault="00F9698A">
      <w:pPr>
        <w:pStyle w:val="DefaultStyle"/>
        <w:numPr>
          <w:ilvl w:val="0"/>
          <w:numId w:val="8"/>
        </w:numPr>
        <w:spacing w:after="216"/>
      </w:pPr>
      <w:r>
        <w:rPr>
          <w:b/>
          <w:bCs/>
        </w:rPr>
        <w:t xml:space="preserve">Drifter Deployments:  </w:t>
      </w:r>
      <w:r>
        <w:t xml:space="preserve">  Five 40m drogue drifters will be deployed upon entering the Bering Sea.  </w:t>
      </w:r>
    </w:p>
    <w:p w:rsidR="00502743" w:rsidRDefault="00F9698A">
      <w:pPr>
        <w:pStyle w:val="DefaultStyle"/>
        <w:numPr>
          <w:ilvl w:val="0"/>
          <w:numId w:val="8"/>
        </w:numPr>
        <w:spacing w:after="216"/>
      </w:pPr>
      <w:r>
        <w:rPr>
          <w:rFonts w:eastAsia="Calibri"/>
          <w:b/>
          <w:bCs/>
          <w:lang w:eastAsia="zh-CN"/>
        </w:rPr>
        <w:t>FOCI Bering Sea Site 2:</w:t>
      </w:r>
      <w:r>
        <w:rPr>
          <w:rFonts w:eastAsia="Calibri"/>
          <w:lang w:eastAsia="zh-CN"/>
        </w:rPr>
        <w:t xml:space="preserve">  Depending on arrival timing, we will either proceed with mooring operations or with the CTD “box”.  Prior to mooring operations, calibration CTDs (with nutrient and chlorophyll samples) will be completed. Mooring operations will consist of recovering two subsurface moorings and deploying one surface and one subsurface mooring.  After the completion of all mooring operations, a CTD, with nutrient and chlorophyll samples, a MARMAP Bongo tow with 20 and 60 cm bongos and triplicate </w:t>
      </w:r>
      <w:proofErr w:type="spellStart"/>
      <w:r>
        <w:rPr>
          <w:rFonts w:eastAsia="Calibri"/>
          <w:lang w:eastAsia="zh-CN"/>
        </w:rPr>
        <w:t>CalVET</w:t>
      </w:r>
      <w:proofErr w:type="spellEnd"/>
      <w:r>
        <w:rPr>
          <w:rFonts w:eastAsia="Calibri"/>
          <w:lang w:eastAsia="zh-CN"/>
        </w:rPr>
        <w:t xml:space="preserve"> tows will be completed approximately 0.5 mile from the mooring site.  At the four stations surrounding Site 2, a CTD and 20/60 bongo tow will be completed.  </w:t>
      </w:r>
    </w:p>
    <w:p w:rsidR="00502743" w:rsidRDefault="00F9698A">
      <w:pPr>
        <w:pStyle w:val="DefaultStyle"/>
        <w:numPr>
          <w:ilvl w:val="0"/>
          <w:numId w:val="8"/>
        </w:numPr>
        <w:spacing w:after="216"/>
      </w:pPr>
      <w:r>
        <w:rPr>
          <w:rFonts w:eastAsia="Calibri"/>
          <w:b/>
          <w:bCs/>
          <w:lang w:eastAsia="zh-CN"/>
        </w:rPr>
        <w:t xml:space="preserve">70 Meter </w:t>
      </w:r>
      <w:proofErr w:type="spellStart"/>
      <w:r>
        <w:rPr>
          <w:rFonts w:eastAsia="Calibri"/>
          <w:b/>
          <w:bCs/>
          <w:lang w:eastAsia="zh-CN"/>
        </w:rPr>
        <w:t>Isobath</w:t>
      </w:r>
      <w:proofErr w:type="spellEnd"/>
      <w:r>
        <w:rPr>
          <w:rFonts w:eastAsia="Calibri"/>
          <w:b/>
          <w:bCs/>
          <w:lang w:eastAsia="zh-CN"/>
        </w:rPr>
        <w:t xml:space="preserve"> Line:  </w:t>
      </w:r>
      <w:r>
        <w:rPr>
          <w:rFonts w:eastAsia="Calibri"/>
          <w:lang w:eastAsia="zh-CN"/>
        </w:rPr>
        <w:t xml:space="preserve">A CTD will be deployed at each station along the </w:t>
      </w:r>
      <w:proofErr w:type="spellStart"/>
      <w:r>
        <w:rPr>
          <w:rFonts w:eastAsia="Calibri"/>
          <w:lang w:eastAsia="zh-CN"/>
        </w:rPr>
        <w:t>isobath</w:t>
      </w:r>
      <w:proofErr w:type="spellEnd"/>
      <w:r>
        <w:rPr>
          <w:rFonts w:eastAsia="Calibri"/>
          <w:lang w:eastAsia="zh-CN"/>
        </w:rPr>
        <w:t xml:space="preserve"> with collection of samples for salinity, chlorophyll, and nutrients.  A 20/60 cm bongo will be deployed at every other station for collection of </w:t>
      </w:r>
      <w:proofErr w:type="spellStart"/>
      <w:r>
        <w:rPr>
          <w:rFonts w:eastAsia="Calibri"/>
          <w:lang w:eastAsia="zh-CN"/>
        </w:rPr>
        <w:t>mesozooplankton</w:t>
      </w:r>
      <w:proofErr w:type="spellEnd"/>
      <w:r>
        <w:rPr>
          <w:rFonts w:eastAsia="Calibri"/>
          <w:lang w:eastAsia="zh-CN"/>
        </w:rPr>
        <w:t>.  The CTDs will continue from mooring site 2 northward as time and ice conditions allow.</w:t>
      </w:r>
    </w:p>
    <w:p w:rsidR="00502743" w:rsidRDefault="00F9698A">
      <w:pPr>
        <w:pStyle w:val="DefaultStyle"/>
        <w:numPr>
          <w:ilvl w:val="0"/>
          <w:numId w:val="8"/>
        </w:numPr>
        <w:spacing w:after="216"/>
      </w:pPr>
      <w:r>
        <w:rPr>
          <w:rFonts w:eastAsia="Calibri"/>
          <w:b/>
          <w:bCs/>
          <w:lang w:eastAsia="zh-CN"/>
        </w:rPr>
        <w:t xml:space="preserve">FOCI Bering Sea Site 4:  </w:t>
      </w:r>
      <w:r>
        <w:rPr>
          <w:rFonts w:eastAsia="Calibri"/>
          <w:lang w:eastAsia="zh-CN"/>
        </w:rPr>
        <w:t xml:space="preserve"> Depending on ice conditions, the ship will sample the 70m </w:t>
      </w:r>
      <w:proofErr w:type="spellStart"/>
      <w:r>
        <w:rPr>
          <w:rFonts w:eastAsia="Calibri"/>
          <w:lang w:eastAsia="zh-CN"/>
        </w:rPr>
        <w:t>isobath</w:t>
      </w:r>
      <w:proofErr w:type="spellEnd"/>
      <w:r>
        <w:rPr>
          <w:rFonts w:eastAsia="Calibri"/>
          <w:lang w:eastAsia="zh-CN"/>
        </w:rPr>
        <w:t xml:space="preserve"> until it reaches Site 4.  Depending on conditions and time of day when Site 4 is reached, work will begin either on recovery/deployment of the moorings or CTD/Bongo operations.  </w:t>
      </w:r>
    </w:p>
    <w:p w:rsidR="00502743" w:rsidRPr="00486508" w:rsidRDefault="00F9698A">
      <w:pPr>
        <w:pStyle w:val="DefaultStyle"/>
        <w:numPr>
          <w:ilvl w:val="0"/>
          <w:numId w:val="8"/>
        </w:numPr>
        <w:spacing w:after="216"/>
      </w:pPr>
      <w:r>
        <w:rPr>
          <w:rFonts w:eastAsia="Calibri"/>
          <w:b/>
          <w:bCs/>
          <w:lang w:eastAsia="zh-CN"/>
        </w:rPr>
        <w:t>Unimak CTD Box</w:t>
      </w:r>
      <w:r>
        <w:rPr>
          <w:rFonts w:eastAsia="Calibri"/>
          <w:lang w:eastAsia="zh-CN"/>
        </w:rPr>
        <w:t xml:space="preserve">:  If time permits, a CTD (with nutrient and chlorophyll samples) will be deployed at each of 17 stations in a “box” around Unimak Pass.  A 20/60 cm bongo will be deployed at every station within Unimak Pass and every other station on the other sides of the box for collection of </w:t>
      </w:r>
      <w:proofErr w:type="spellStart"/>
      <w:r>
        <w:rPr>
          <w:rFonts w:eastAsia="Calibri"/>
          <w:lang w:eastAsia="zh-CN"/>
        </w:rPr>
        <w:t>mesozooplankton</w:t>
      </w:r>
      <w:proofErr w:type="spellEnd"/>
      <w:r>
        <w:rPr>
          <w:rFonts w:eastAsia="Calibri"/>
          <w:lang w:eastAsia="zh-CN"/>
        </w:rPr>
        <w:t>. This operation could be moved up if ice conditions do not allow for prompt recovery of moorings.</w:t>
      </w:r>
    </w:p>
    <w:p w:rsidR="00486508" w:rsidRDefault="00065A31">
      <w:pPr>
        <w:pStyle w:val="DefaultStyle"/>
        <w:numPr>
          <w:ilvl w:val="0"/>
          <w:numId w:val="8"/>
        </w:numPr>
        <w:spacing w:after="216"/>
      </w:pPr>
      <w:r>
        <w:rPr>
          <w:rFonts w:eastAsia="Calibri"/>
          <w:b/>
          <w:bCs/>
          <w:lang w:eastAsia="zh-CN"/>
        </w:rPr>
        <w:t xml:space="preserve"> </w:t>
      </w:r>
      <w:r w:rsidR="00486508">
        <w:rPr>
          <w:rFonts w:eastAsia="Calibri"/>
          <w:b/>
          <w:bCs/>
          <w:lang w:eastAsia="zh-CN"/>
        </w:rPr>
        <w:t xml:space="preserve">“Dog Leg” Line:  </w:t>
      </w:r>
      <w:r w:rsidR="00486508">
        <w:rPr>
          <w:rFonts w:eastAsia="Calibri"/>
          <w:bCs/>
          <w:lang w:eastAsia="zh-CN"/>
        </w:rPr>
        <w:t xml:space="preserve">Similarly, up to 24 additional CTD stations may be sampled if time permits.  Locations are in Appendix I.  </w:t>
      </w:r>
    </w:p>
    <w:p w:rsidR="00502743" w:rsidRDefault="00F9698A">
      <w:pPr>
        <w:pStyle w:val="DefaultStyle"/>
        <w:contextualSpacing/>
      </w:pPr>
      <w:r>
        <w:tab/>
      </w:r>
    </w:p>
    <w:p w:rsidR="00502743" w:rsidRDefault="00F9698A">
      <w:pPr>
        <w:pStyle w:val="DefaultStyle"/>
        <w:contextualSpacing/>
      </w:pPr>
      <w:r>
        <w:tab/>
        <w:t>D.</w:t>
      </w:r>
      <w:r>
        <w:tab/>
        <w:t>Dive Plan</w:t>
      </w:r>
    </w:p>
    <w:p w:rsidR="00502743" w:rsidRDefault="00502743">
      <w:pPr>
        <w:pStyle w:val="DefaultStyle"/>
        <w:ind w:left="720"/>
        <w:contextualSpacing/>
      </w:pPr>
    </w:p>
    <w:p w:rsidR="00502743" w:rsidRDefault="00F9698A">
      <w:pPr>
        <w:pStyle w:val="DefaultStyle"/>
        <w:ind w:left="720"/>
        <w:contextualSpacing/>
      </w:pPr>
      <w:r>
        <w:tab/>
        <w:t>N/A</w:t>
      </w:r>
    </w:p>
    <w:p w:rsidR="00502743" w:rsidRDefault="00F9698A">
      <w:pPr>
        <w:pStyle w:val="DefaultStyle"/>
        <w:contextualSpacing/>
      </w:pPr>
      <w:r>
        <w:tab/>
      </w:r>
    </w:p>
    <w:p w:rsidR="00502743" w:rsidRDefault="00F9698A">
      <w:pPr>
        <w:pStyle w:val="DefaultStyle"/>
        <w:ind w:firstLine="720"/>
        <w:contextualSpacing/>
      </w:pPr>
      <w:r>
        <w:t>E.</w:t>
      </w:r>
      <w:r>
        <w:tab/>
        <w:t xml:space="preserve">Applicable Restrictions </w:t>
      </w:r>
    </w:p>
    <w:p w:rsidR="00502743" w:rsidRDefault="00502743">
      <w:pPr>
        <w:pStyle w:val="DefaultStyle"/>
        <w:ind w:firstLine="720"/>
        <w:contextualSpacing/>
      </w:pPr>
    </w:p>
    <w:p w:rsidR="00502743" w:rsidRDefault="00F9698A">
      <w:pPr>
        <w:pStyle w:val="DefaultStyle"/>
        <w:ind w:left="1455"/>
        <w:contextualSpacing/>
      </w:pPr>
      <w:r>
        <w:rPr>
          <w:rFonts w:eastAsia="Calibri"/>
          <w:color w:val="00000A"/>
        </w:rPr>
        <w:lastRenderedPageBreak/>
        <w:t>Conditions which preclude normal operations:  Poor weather, equipment failure, unforeseen conditions, and ice coverage would all preclude normal operations. Poor weather would have to be waited out or the project track would have to be modified to provide the best weather possible.  A-frame or winch failures would need to be addressed immediately for the project to continue. Ice coverage would negate the ability to pop moorings. These would have to be recovered later in the project (depending on ice forecasts) or by another vessel.</w:t>
      </w:r>
    </w:p>
    <w:p w:rsidR="00502743" w:rsidRDefault="00502743">
      <w:pPr>
        <w:pStyle w:val="DefaultStyle"/>
        <w:contextualSpacing/>
      </w:pPr>
    </w:p>
    <w:p w:rsidR="00502743" w:rsidRDefault="00F9698A">
      <w:pPr>
        <w:pStyle w:val="DefaultStyle"/>
        <w:ind w:left="720" w:hanging="720"/>
        <w:contextualSpacing/>
      </w:pPr>
      <w:r>
        <w:rPr>
          <w:b/>
        </w:rPr>
        <w:t>III.</w:t>
      </w:r>
      <w:r>
        <w:rPr>
          <w:b/>
        </w:rPr>
        <w:tab/>
        <w:t xml:space="preserve">Equipment </w:t>
      </w:r>
    </w:p>
    <w:p w:rsidR="00502743" w:rsidRDefault="00F9698A">
      <w:pPr>
        <w:pStyle w:val="DefaultStyle"/>
        <w:contextualSpacing/>
      </w:pPr>
      <w:r>
        <w:tab/>
        <w:t>A.</w:t>
      </w:r>
      <w:r>
        <w:tab/>
        <w:t>Equipment and Capabilities provided by the ship</w:t>
      </w:r>
    </w:p>
    <w:p w:rsidR="00502743" w:rsidRDefault="00F9698A">
      <w:pPr>
        <w:pStyle w:val="DefaultStyle"/>
        <w:ind w:left="720"/>
        <w:contextualSpacing/>
      </w:pPr>
      <w:r>
        <w:t>•</w:t>
      </w:r>
      <w:r>
        <w:tab/>
      </w:r>
      <w:r>
        <w:rPr>
          <w:rFonts w:eastAsia="Calibri"/>
          <w:color w:val="00000A"/>
        </w:rPr>
        <w:t>Oceanographic winch with slip rings and 3-conductor cable terminated for CTD,</w:t>
      </w:r>
    </w:p>
    <w:p w:rsidR="00502743" w:rsidRDefault="00F9698A">
      <w:pPr>
        <w:pStyle w:val="DefaultStyle"/>
        <w:ind w:left="720"/>
        <w:contextualSpacing/>
      </w:pPr>
      <w:r>
        <w:rPr>
          <w:rFonts w:eastAsia="Calibri"/>
          <w:color w:val="00000A"/>
        </w:rPr>
        <w:t>•</w:t>
      </w:r>
      <w:r>
        <w:rPr>
          <w:rFonts w:eastAsia="Calibri"/>
          <w:color w:val="00000A"/>
        </w:rPr>
        <w:tab/>
        <w:t xml:space="preserve">12 </w:t>
      </w:r>
      <w:proofErr w:type="spellStart"/>
      <w:proofErr w:type="gramStart"/>
      <w:r>
        <w:rPr>
          <w:rFonts w:eastAsia="Calibri"/>
          <w:color w:val="00000A"/>
        </w:rPr>
        <w:t>Khz</w:t>
      </w:r>
      <w:proofErr w:type="spellEnd"/>
      <w:proofErr w:type="gramEnd"/>
      <w:r>
        <w:rPr>
          <w:rFonts w:eastAsia="Calibri"/>
          <w:color w:val="00000A"/>
        </w:rPr>
        <w:t xml:space="preserve"> hull mounted </w:t>
      </w:r>
      <w:proofErr w:type="spellStart"/>
      <w:r>
        <w:rPr>
          <w:rFonts w:eastAsia="Calibri"/>
          <w:color w:val="00000A"/>
        </w:rPr>
        <w:t>Edgetech</w:t>
      </w:r>
      <w:proofErr w:type="spellEnd"/>
      <w:r>
        <w:rPr>
          <w:rFonts w:eastAsia="Calibri"/>
          <w:color w:val="00000A"/>
        </w:rPr>
        <w:t xml:space="preserve"> Acoustic release transducer,</w:t>
      </w:r>
    </w:p>
    <w:p w:rsidR="00502743" w:rsidRDefault="00F9698A">
      <w:pPr>
        <w:pStyle w:val="DefaultStyle"/>
        <w:ind w:left="1455" w:hanging="735"/>
        <w:contextualSpacing/>
      </w:pPr>
      <w:r>
        <w:rPr>
          <w:rFonts w:eastAsia="Calibri"/>
          <w:color w:val="00000A"/>
        </w:rPr>
        <w:t>•</w:t>
      </w:r>
      <w:r>
        <w:rPr>
          <w:rFonts w:eastAsia="Calibri"/>
          <w:color w:val="00000A"/>
        </w:rPr>
        <w:tab/>
        <w:t>Oceanographic winch with slip rings and 3-conductor cable terminated for the SBE19plus for net tow operations,</w:t>
      </w:r>
    </w:p>
    <w:p w:rsidR="00502743" w:rsidRDefault="00F9698A">
      <w:pPr>
        <w:pStyle w:val="DefaultStyle"/>
        <w:ind w:left="1455" w:hanging="735"/>
        <w:contextualSpacing/>
      </w:pPr>
      <w:r>
        <w:rPr>
          <w:rFonts w:eastAsia="Calibri"/>
          <w:color w:val="00000A"/>
        </w:rPr>
        <w:t>•</w:t>
      </w:r>
      <w:r>
        <w:rPr>
          <w:rFonts w:eastAsia="Calibri"/>
          <w:color w:val="00000A"/>
        </w:rPr>
        <w:tab/>
        <w:t xml:space="preserve">Sea-Bird Electronics’ SBE 911plus CTD system with stand, each CTD system should include underwater CTD, weights, and </w:t>
      </w:r>
      <w:proofErr w:type="spellStart"/>
      <w:r>
        <w:rPr>
          <w:rFonts w:eastAsia="Calibri"/>
          <w:color w:val="00000A"/>
        </w:rPr>
        <w:t>pinger</w:t>
      </w:r>
      <w:proofErr w:type="spellEnd"/>
      <w:r>
        <w:rPr>
          <w:rFonts w:eastAsia="Calibri"/>
          <w:color w:val="00000A"/>
        </w:rPr>
        <w:t>.  There should be a deck unit for the system,</w:t>
      </w:r>
    </w:p>
    <w:p w:rsidR="00502743" w:rsidRDefault="00F9698A">
      <w:pPr>
        <w:pStyle w:val="DefaultStyle"/>
        <w:ind w:left="720"/>
        <w:contextualSpacing/>
      </w:pPr>
      <w:r>
        <w:rPr>
          <w:rFonts w:eastAsia="Calibri"/>
          <w:color w:val="00000A"/>
        </w:rPr>
        <w:t>•</w:t>
      </w:r>
      <w:r>
        <w:rPr>
          <w:rFonts w:eastAsia="Calibri"/>
          <w:color w:val="00000A"/>
        </w:rPr>
        <w:tab/>
        <w:t xml:space="preserve">5 or 10-liter </w:t>
      </w:r>
      <w:proofErr w:type="spellStart"/>
      <w:r>
        <w:rPr>
          <w:rFonts w:eastAsia="Calibri"/>
          <w:color w:val="00000A"/>
        </w:rPr>
        <w:t>Niskin</w:t>
      </w:r>
      <w:proofErr w:type="spellEnd"/>
      <w:r>
        <w:rPr>
          <w:rFonts w:eastAsia="Calibri"/>
          <w:color w:val="00000A"/>
        </w:rPr>
        <w:t xml:space="preserve"> sampling bottles for use with rosette (10 plus 4 spares),</w:t>
      </w:r>
    </w:p>
    <w:p w:rsidR="00502743" w:rsidRDefault="00F9698A">
      <w:pPr>
        <w:pStyle w:val="DefaultStyle"/>
        <w:ind w:left="1440" w:hanging="720"/>
        <w:contextualSpacing/>
      </w:pPr>
      <w:r>
        <w:rPr>
          <w:rFonts w:eastAsia="Calibri"/>
          <w:color w:val="00000A"/>
        </w:rPr>
        <w:t>•</w:t>
      </w:r>
      <w:r>
        <w:rPr>
          <w:rFonts w:eastAsia="Calibri"/>
          <w:color w:val="00000A"/>
        </w:rPr>
        <w:tab/>
        <w:t>Conductivity and temperature sensor package to provide dual sensors on the CTD (primary),</w:t>
      </w:r>
    </w:p>
    <w:p w:rsidR="00502743" w:rsidRDefault="00F9698A">
      <w:pPr>
        <w:pStyle w:val="DefaultStyle"/>
        <w:ind w:left="1455" w:hanging="735"/>
        <w:contextualSpacing/>
      </w:pPr>
      <w:r>
        <w:rPr>
          <w:rFonts w:eastAsia="Calibri"/>
          <w:color w:val="00000A"/>
        </w:rPr>
        <w:t>•</w:t>
      </w:r>
      <w:r>
        <w:rPr>
          <w:rFonts w:eastAsia="Calibri"/>
          <w:color w:val="00000A"/>
        </w:rPr>
        <w:tab/>
        <w:t>For meteorological observations: 2 anemometers (one R. M. Young system interfaced to the SCS), calibrated air thermometer (wet-and dry-bulb) and a calibrated barometer and/or barograph,</w:t>
      </w:r>
    </w:p>
    <w:p w:rsidR="00502743" w:rsidRDefault="00F9698A">
      <w:pPr>
        <w:pStyle w:val="DefaultStyle"/>
        <w:ind w:left="1455" w:hanging="735"/>
        <w:contextualSpacing/>
      </w:pPr>
      <w:r>
        <w:rPr>
          <w:rFonts w:eastAsia="Calibri"/>
          <w:color w:val="00000A"/>
        </w:rPr>
        <w:t>•</w:t>
      </w:r>
      <w:r>
        <w:rPr>
          <w:rFonts w:eastAsia="Calibri"/>
          <w:color w:val="00000A"/>
        </w:rPr>
        <w:tab/>
        <w:t>Freezer space for storage of biological and chemical samples (blast and storage freezers, -20° C and -80°C), turned on and operating,</w:t>
      </w:r>
    </w:p>
    <w:p w:rsidR="00502743" w:rsidRDefault="00F9698A">
      <w:pPr>
        <w:pStyle w:val="DefaultStyle"/>
        <w:ind w:left="720"/>
        <w:contextualSpacing/>
      </w:pPr>
      <w:r>
        <w:rPr>
          <w:rFonts w:eastAsia="Calibri"/>
          <w:color w:val="00000A"/>
        </w:rPr>
        <w:t>•</w:t>
      </w:r>
      <w:r>
        <w:rPr>
          <w:rFonts w:eastAsia="Calibri"/>
          <w:color w:val="00000A"/>
        </w:rPr>
        <w:tab/>
        <w:t xml:space="preserve">SIMRAD ES-60 and EK-60 </w:t>
      </w:r>
      <w:proofErr w:type="spellStart"/>
      <w:r>
        <w:rPr>
          <w:rFonts w:eastAsia="Calibri"/>
          <w:color w:val="00000A"/>
        </w:rPr>
        <w:t>echosounders</w:t>
      </w:r>
      <w:proofErr w:type="spellEnd"/>
      <w:r>
        <w:rPr>
          <w:rFonts w:eastAsia="Calibri"/>
          <w:color w:val="00000A"/>
        </w:rPr>
        <w:t>,</w:t>
      </w:r>
    </w:p>
    <w:p w:rsidR="00502743" w:rsidRDefault="00F9698A">
      <w:pPr>
        <w:pStyle w:val="DefaultStyle"/>
        <w:ind w:left="720"/>
        <w:contextualSpacing/>
      </w:pPr>
      <w:r>
        <w:rPr>
          <w:rFonts w:eastAsia="Calibri"/>
          <w:color w:val="00000A"/>
        </w:rPr>
        <w:t>•</w:t>
      </w:r>
      <w:r>
        <w:rPr>
          <w:rFonts w:eastAsia="Calibri"/>
          <w:color w:val="00000A"/>
        </w:rPr>
        <w:tab/>
        <w:t>SIMRAD ME-70 Downward-Facing Multi-Beam Sonar,</w:t>
      </w:r>
    </w:p>
    <w:p w:rsidR="00502743" w:rsidRDefault="00F9698A">
      <w:pPr>
        <w:pStyle w:val="DefaultStyle"/>
        <w:ind w:left="720"/>
        <w:contextualSpacing/>
      </w:pPr>
      <w:r>
        <w:rPr>
          <w:rFonts w:eastAsia="Calibri"/>
          <w:color w:val="00000A"/>
        </w:rPr>
        <w:t>•</w:t>
      </w:r>
      <w:r>
        <w:rPr>
          <w:rFonts w:eastAsia="Calibri"/>
          <w:color w:val="00000A"/>
        </w:rPr>
        <w:tab/>
        <w:t>RD Instruments’ ADCP written to disk,</w:t>
      </w:r>
    </w:p>
    <w:p w:rsidR="00502743" w:rsidRDefault="00F9698A">
      <w:pPr>
        <w:pStyle w:val="DefaultStyle"/>
        <w:ind w:left="720"/>
        <w:contextualSpacing/>
      </w:pPr>
      <w:r>
        <w:rPr>
          <w:rFonts w:eastAsia="Calibri"/>
          <w:color w:val="00000A"/>
        </w:rPr>
        <w:t>•</w:t>
      </w:r>
      <w:r>
        <w:rPr>
          <w:rFonts w:eastAsia="Calibri"/>
          <w:color w:val="00000A"/>
        </w:rPr>
        <w:tab/>
        <w:t>Scientific Computer System (SCS),</w:t>
      </w:r>
    </w:p>
    <w:p w:rsidR="00502743" w:rsidRDefault="00F9698A">
      <w:pPr>
        <w:pStyle w:val="DefaultStyle"/>
        <w:ind w:left="720"/>
        <w:contextualSpacing/>
      </w:pPr>
      <w:r>
        <w:rPr>
          <w:rFonts w:eastAsia="Calibri"/>
          <w:color w:val="00000A"/>
        </w:rPr>
        <w:t>•</w:t>
      </w:r>
      <w:r>
        <w:rPr>
          <w:rFonts w:eastAsia="Calibri"/>
          <w:color w:val="00000A"/>
        </w:rPr>
        <w:tab/>
        <w:t>Minimum of 2 computers with internet and e-mail access,</w:t>
      </w:r>
    </w:p>
    <w:p w:rsidR="00502743" w:rsidRDefault="00F9698A">
      <w:pPr>
        <w:pStyle w:val="DefaultStyle"/>
        <w:ind w:left="720"/>
        <w:contextualSpacing/>
      </w:pPr>
      <w:r>
        <w:rPr>
          <w:rFonts w:eastAsia="Calibri"/>
          <w:color w:val="00000A"/>
        </w:rPr>
        <w:t>•</w:t>
      </w:r>
      <w:r>
        <w:rPr>
          <w:rFonts w:eastAsia="Calibri"/>
          <w:color w:val="00000A"/>
        </w:rPr>
        <w:tab/>
        <w:t>Removable stern platform (in place),</w:t>
      </w:r>
    </w:p>
    <w:p w:rsidR="00502743" w:rsidRDefault="00F9698A">
      <w:pPr>
        <w:pStyle w:val="DefaultStyle"/>
        <w:ind w:left="720"/>
        <w:contextualSpacing/>
      </w:pPr>
      <w:r>
        <w:rPr>
          <w:rFonts w:eastAsia="Calibri"/>
          <w:color w:val="00000A"/>
        </w:rPr>
        <w:t>•</w:t>
      </w:r>
      <w:r>
        <w:rPr>
          <w:rFonts w:eastAsia="Calibri"/>
          <w:color w:val="00000A"/>
        </w:rPr>
        <w:tab/>
        <w:t>Laboratory space with storage space,</w:t>
      </w:r>
    </w:p>
    <w:p w:rsidR="00502743" w:rsidRDefault="00F9698A">
      <w:pPr>
        <w:pStyle w:val="DefaultStyle"/>
        <w:ind w:left="720"/>
        <w:contextualSpacing/>
      </w:pPr>
      <w:r>
        <w:rPr>
          <w:rFonts w:eastAsia="Calibri"/>
          <w:color w:val="00000A"/>
        </w:rPr>
        <w:t>•</w:t>
      </w:r>
      <w:r>
        <w:rPr>
          <w:rFonts w:eastAsia="Calibri"/>
          <w:color w:val="00000A"/>
        </w:rPr>
        <w:tab/>
        <w:t>Sea-water hoses and nozzles to wash nets,</w:t>
      </w:r>
    </w:p>
    <w:p w:rsidR="00502743" w:rsidRDefault="00F9698A">
      <w:pPr>
        <w:pStyle w:val="DefaultStyle"/>
        <w:ind w:left="720"/>
        <w:contextualSpacing/>
      </w:pPr>
      <w:r>
        <w:rPr>
          <w:rFonts w:eastAsia="Calibri"/>
          <w:color w:val="00000A"/>
        </w:rPr>
        <w:t>•</w:t>
      </w:r>
      <w:r>
        <w:rPr>
          <w:rFonts w:eastAsia="Calibri"/>
          <w:color w:val="00000A"/>
        </w:rPr>
        <w:tab/>
        <w:t>Adequate deck lighting for night-time operations,</w:t>
      </w:r>
    </w:p>
    <w:p w:rsidR="00502743" w:rsidRDefault="00F9698A">
      <w:pPr>
        <w:pStyle w:val="DefaultStyle"/>
        <w:ind w:left="720"/>
        <w:contextualSpacing/>
      </w:pPr>
      <w:r>
        <w:rPr>
          <w:rFonts w:eastAsia="Calibri"/>
          <w:color w:val="00000A"/>
        </w:rPr>
        <w:t>•</w:t>
      </w:r>
      <w:r>
        <w:rPr>
          <w:rFonts w:eastAsia="Calibri"/>
          <w:color w:val="00000A"/>
        </w:rPr>
        <w:tab/>
        <w:t>Navigational equipment including GPS and radar,</w:t>
      </w:r>
    </w:p>
    <w:p w:rsidR="00502743" w:rsidRDefault="00F9698A">
      <w:pPr>
        <w:pStyle w:val="DefaultStyle"/>
        <w:ind w:left="720"/>
        <w:contextualSpacing/>
      </w:pPr>
      <w:r>
        <w:rPr>
          <w:rFonts w:eastAsia="Calibri"/>
          <w:color w:val="00000A"/>
        </w:rPr>
        <w:t>•</w:t>
      </w:r>
      <w:r>
        <w:rPr>
          <w:rFonts w:eastAsia="Calibri"/>
          <w:color w:val="00000A"/>
        </w:rPr>
        <w:tab/>
        <w:t>Safety harnesses for working on quarterdeck and fantail,</w:t>
      </w:r>
    </w:p>
    <w:p w:rsidR="00502743" w:rsidRDefault="00F9698A">
      <w:pPr>
        <w:pStyle w:val="DefaultStyle"/>
        <w:ind w:left="720"/>
        <w:contextualSpacing/>
      </w:pPr>
      <w:r>
        <w:rPr>
          <w:rFonts w:eastAsia="Calibri"/>
          <w:color w:val="00000A"/>
        </w:rPr>
        <w:t>•</w:t>
      </w:r>
      <w:r>
        <w:rPr>
          <w:rFonts w:eastAsia="Calibri"/>
          <w:color w:val="00000A"/>
        </w:rPr>
        <w:tab/>
        <w:t>Ship’s crane(s) used for loading and/or deploying.</w:t>
      </w:r>
    </w:p>
    <w:p w:rsidR="00502743" w:rsidRDefault="00502743">
      <w:pPr>
        <w:pStyle w:val="DefaultStyle"/>
        <w:ind w:left="720"/>
        <w:contextualSpacing/>
      </w:pPr>
    </w:p>
    <w:p w:rsidR="00502743" w:rsidRDefault="00F9698A">
      <w:pPr>
        <w:pStyle w:val="DefaultStyle"/>
        <w:contextualSpacing/>
      </w:pPr>
      <w:r>
        <w:tab/>
        <w:t>B.</w:t>
      </w:r>
      <w:r>
        <w:tab/>
        <w:t xml:space="preserve">Equipment and Capabilities provided by the scientists </w:t>
      </w:r>
    </w:p>
    <w:p w:rsidR="00502743" w:rsidRDefault="00502743">
      <w:pPr>
        <w:pStyle w:val="DefaultStyle"/>
        <w:ind w:left="720"/>
        <w:contextualSpacing/>
      </w:pPr>
    </w:p>
    <w:p w:rsidR="00502743" w:rsidRDefault="00F9698A">
      <w:pPr>
        <w:pStyle w:val="DefaultStyle"/>
        <w:ind w:left="720"/>
        <w:contextualSpacing/>
      </w:pPr>
      <w:r>
        <w:t>•</w:t>
      </w:r>
      <w:r>
        <w:tab/>
        <w:t>Sea-Bird Electronics’ SBE-19plus SEACAT system,</w:t>
      </w:r>
    </w:p>
    <w:p w:rsidR="00502743" w:rsidRDefault="00F9698A">
      <w:pPr>
        <w:pStyle w:val="DefaultStyle"/>
        <w:ind w:left="720"/>
        <w:contextualSpacing/>
      </w:pPr>
      <w:r>
        <w:t>•</w:t>
      </w:r>
      <w:r>
        <w:tab/>
      </w:r>
      <w:proofErr w:type="spellStart"/>
      <w:r>
        <w:t>Fluorometer</w:t>
      </w:r>
      <w:proofErr w:type="spellEnd"/>
      <w:r>
        <w:t>, light meter and dual oxygen sensors to be mounted on CTD,</w:t>
      </w:r>
    </w:p>
    <w:p w:rsidR="00502743" w:rsidRDefault="00F9698A">
      <w:pPr>
        <w:pStyle w:val="DefaultStyle"/>
        <w:ind w:left="1440" w:hanging="720"/>
        <w:contextualSpacing/>
      </w:pPr>
      <w:r>
        <w:t>•</w:t>
      </w:r>
      <w:r>
        <w:tab/>
        <w:t>Conductivity and temperature sensor package to provide dual sensors on the CTD (backup),</w:t>
      </w:r>
    </w:p>
    <w:p w:rsidR="00502743" w:rsidRDefault="00F9698A">
      <w:pPr>
        <w:pStyle w:val="DefaultStyle"/>
        <w:ind w:left="720"/>
        <w:contextualSpacing/>
      </w:pPr>
      <w:r>
        <w:t>•</w:t>
      </w:r>
      <w:r>
        <w:tab/>
        <w:t>60-cm bongo sampling arrays,</w:t>
      </w:r>
    </w:p>
    <w:p w:rsidR="00502743" w:rsidRDefault="00F9698A">
      <w:pPr>
        <w:pStyle w:val="DefaultStyle"/>
        <w:ind w:left="720"/>
        <w:contextualSpacing/>
      </w:pPr>
      <w:r>
        <w:t>•</w:t>
      </w:r>
      <w:r>
        <w:tab/>
        <w:t>20 cm bongo arrays,</w:t>
      </w:r>
    </w:p>
    <w:p w:rsidR="00502743" w:rsidRDefault="00F9698A">
      <w:pPr>
        <w:pStyle w:val="DefaultStyle"/>
        <w:ind w:left="720"/>
        <w:contextualSpacing/>
      </w:pPr>
      <w:r>
        <w:lastRenderedPageBreak/>
        <w:t>•</w:t>
      </w:r>
      <w:r>
        <w:tab/>
        <w:t>Manual wire angle indicator,</w:t>
      </w:r>
    </w:p>
    <w:p w:rsidR="00502743" w:rsidRDefault="00F9698A">
      <w:pPr>
        <w:pStyle w:val="DefaultStyle"/>
        <w:ind w:left="720"/>
        <w:contextualSpacing/>
      </w:pPr>
      <w:r>
        <w:t>•</w:t>
      </w:r>
      <w:r>
        <w:tab/>
      </w:r>
      <w:proofErr w:type="spellStart"/>
      <w:r>
        <w:t>CalVET</w:t>
      </w:r>
      <w:proofErr w:type="spellEnd"/>
      <w:r>
        <w:t xml:space="preserve"> net array,</w:t>
      </w:r>
    </w:p>
    <w:p w:rsidR="00502743" w:rsidRDefault="00F9698A">
      <w:pPr>
        <w:pStyle w:val="DefaultStyle"/>
        <w:ind w:left="720"/>
        <w:contextualSpacing/>
      </w:pPr>
      <w:r>
        <w:t>•</w:t>
      </w:r>
      <w:r>
        <w:tab/>
        <w:t>Surface mooring (FOCI biophysical platforms),</w:t>
      </w:r>
    </w:p>
    <w:p w:rsidR="00502743" w:rsidRDefault="00F9698A">
      <w:pPr>
        <w:pStyle w:val="DefaultStyle"/>
        <w:ind w:left="720"/>
        <w:contextualSpacing/>
      </w:pPr>
      <w:r>
        <w:t>•</w:t>
      </w:r>
      <w:r>
        <w:tab/>
        <w:t>Subsurface moorings,</w:t>
      </w:r>
    </w:p>
    <w:p w:rsidR="00502743" w:rsidRDefault="00F9698A">
      <w:pPr>
        <w:pStyle w:val="DefaultStyle"/>
        <w:ind w:left="720"/>
        <w:contextualSpacing/>
      </w:pPr>
      <w:r>
        <w:t>•</w:t>
      </w:r>
      <w:r>
        <w:tab/>
        <w:t>Miscellaneous scientific sampling and processing equipment,</w:t>
      </w:r>
    </w:p>
    <w:p w:rsidR="00502743" w:rsidRDefault="00F9698A">
      <w:pPr>
        <w:pStyle w:val="DefaultStyle"/>
        <w:ind w:left="720"/>
        <w:contextualSpacing/>
      </w:pPr>
      <w:r>
        <w:t>•</w:t>
      </w:r>
      <w:r>
        <w:tab/>
        <w:t>Chlorophyll and nutrient sampling equipment,</w:t>
      </w:r>
    </w:p>
    <w:p w:rsidR="00502743" w:rsidRDefault="00F9698A">
      <w:pPr>
        <w:pStyle w:val="DefaultStyle"/>
        <w:ind w:left="720"/>
        <w:contextualSpacing/>
      </w:pPr>
      <w:r>
        <w:t>•</w:t>
      </w:r>
      <w:r>
        <w:tab/>
        <w:t>Winkler Oxygen Analysis rig,</w:t>
      </w:r>
    </w:p>
    <w:p w:rsidR="00502743" w:rsidRDefault="00F9698A">
      <w:pPr>
        <w:pStyle w:val="DefaultStyle"/>
        <w:ind w:left="720"/>
        <w:contextualSpacing/>
      </w:pPr>
      <w:r>
        <w:t>•</w:t>
      </w:r>
      <w:r>
        <w:tab/>
      </w:r>
      <w:proofErr w:type="gramStart"/>
      <w:r>
        <w:t>pCO2</w:t>
      </w:r>
      <w:proofErr w:type="gramEnd"/>
      <w:r>
        <w:t xml:space="preserve"> system installed in flow-through system.</w:t>
      </w:r>
    </w:p>
    <w:p w:rsidR="00502743" w:rsidRDefault="00502743">
      <w:pPr>
        <w:pStyle w:val="DefaultStyle"/>
        <w:contextualSpacing/>
      </w:pPr>
    </w:p>
    <w:p w:rsidR="00502743" w:rsidRDefault="00F9698A">
      <w:pPr>
        <w:pStyle w:val="DefaultStyle"/>
        <w:contextualSpacing/>
      </w:pPr>
      <w:r>
        <w:rPr>
          <w:b/>
        </w:rPr>
        <w:t>IV.</w:t>
      </w:r>
      <w:r>
        <w:rPr>
          <w:b/>
        </w:rPr>
        <w:tab/>
        <w:t xml:space="preserve">Hazardous Materials </w:t>
      </w:r>
    </w:p>
    <w:p w:rsidR="00502743" w:rsidRDefault="00F9698A">
      <w:pPr>
        <w:pStyle w:val="DefaultStyle"/>
        <w:contextualSpacing/>
      </w:pPr>
      <w:r>
        <w:tab/>
        <w:t>A.</w:t>
      </w:r>
      <w:r>
        <w:tab/>
        <w:t xml:space="preserve">Policy and Compliance </w:t>
      </w:r>
    </w:p>
    <w:p w:rsidR="00502743" w:rsidRDefault="00F9698A">
      <w:pPr>
        <w:pStyle w:val="DefaultStyle"/>
        <w:ind w:left="720"/>
        <w:contextualSpacing/>
      </w:pPr>
      <w:r>
        <w:t>The Chief Scientist is responsible for complying with FEC 07 Hazardous Materials and Hazardous Waste Management Requirements for Visiting Scientific Parties (or the OMAO procedure that supersedes it).  By Federal regulations and NOAA Marine and Aviation Operations policy, the ship may not sail without a complete inventory of all hazardous materials by name and the anticipated quantity brought aboard, MSDS and appropriate neutralizing agents, buffers, or absorbents in amounts adequate to address spills of a size equal to the amount of chemical brought aboard, and a chemical hygiene plan.   Documentation regarding those requirements will be provided by the Chief of Operations, Marine Operations Center, upon request.</w:t>
      </w:r>
    </w:p>
    <w:p w:rsidR="00502743" w:rsidRDefault="00F9698A">
      <w:pPr>
        <w:pStyle w:val="NormalWeb"/>
        <w:spacing w:before="0" w:after="0"/>
        <w:ind w:left="720"/>
        <w:contextualSpacing/>
      </w:pPr>
      <w:r>
        <w:rPr>
          <w:sz w:val="22"/>
          <w:szCs w:val="22"/>
        </w:rPr>
        <w:t>Per FEC 07, the scientific party will include with their project instructions and provide to the CO of the respective ship 60 to 90 days before departure:</w:t>
      </w:r>
    </w:p>
    <w:p w:rsidR="00502743" w:rsidRDefault="00F9698A">
      <w:pPr>
        <w:pStyle w:val="NormalWeb"/>
        <w:numPr>
          <w:ilvl w:val="0"/>
          <w:numId w:val="6"/>
        </w:numPr>
        <w:spacing w:before="0" w:after="0"/>
        <w:contextualSpacing/>
      </w:pPr>
      <w:r>
        <w:rPr>
          <w:sz w:val="22"/>
          <w:szCs w:val="22"/>
        </w:rPr>
        <w:t>A list of hazardous materials by name and anticipated quantity</w:t>
      </w:r>
    </w:p>
    <w:p w:rsidR="00502743" w:rsidRDefault="00F9698A">
      <w:pPr>
        <w:pStyle w:val="NormalWeb"/>
        <w:numPr>
          <w:ilvl w:val="0"/>
          <w:numId w:val="6"/>
        </w:numPr>
        <w:spacing w:before="0" w:after="0"/>
        <w:contextualSpacing/>
      </w:pPr>
      <w:r>
        <w:rPr>
          <w:sz w:val="22"/>
          <w:szCs w:val="22"/>
        </w:rPr>
        <w:t>Include a chemical spill plan the addresses all of the chemicals the program is bringing aboard.  This shall include:</w:t>
      </w:r>
    </w:p>
    <w:p w:rsidR="00502743" w:rsidRDefault="00F9698A">
      <w:pPr>
        <w:pStyle w:val="NormalWeb"/>
        <w:numPr>
          <w:ilvl w:val="2"/>
          <w:numId w:val="6"/>
        </w:numPr>
        <w:spacing w:before="0" w:after="0"/>
        <w:contextualSpacing/>
      </w:pPr>
      <w:r>
        <w:rPr>
          <w:sz w:val="22"/>
          <w:szCs w:val="22"/>
        </w:rPr>
        <w:t>Procedures on how the spilled chemicals will be contained and cleaned up.</w:t>
      </w:r>
    </w:p>
    <w:p w:rsidR="00502743" w:rsidRDefault="00F9698A">
      <w:pPr>
        <w:pStyle w:val="NormalWeb"/>
        <w:numPr>
          <w:ilvl w:val="2"/>
          <w:numId w:val="6"/>
        </w:numPr>
        <w:spacing w:before="0" w:after="0"/>
        <w:contextualSpacing/>
      </w:pPr>
      <w:r>
        <w:rPr>
          <w:sz w:val="22"/>
          <w:szCs w:val="22"/>
        </w:rPr>
        <w:t xml:space="preserve">A complete inventory (including volumes/amounts) of the chemical spill supplies and equipment brought aboard by the program.  This must be sufficient to clean and neutralize </w:t>
      </w:r>
      <w:r>
        <w:rPr>
          <w:sz w:val="22"/>
          <w:szCs w:val="22"/>
          <w:u w:val="single"/>
        </w:rPr>
        <w:t>all</w:t>
      </w:r>
      <w:r>
        <w:rPr>
          <w:sz w:val="22"/>
          <w:szCs w:val="22"/>
        </w:rPr>
        <w:t xml:space="preserve"> of the chemicals brought aboard by the program.</w:t>
      </w:r>
    </w:p>
    <w:p w:rsidR="00502743" w:rsidRDefault="00F9698A">
      <w:pPr>
        <w:pStyle w:val="NormalWeb"/>
        <w:numPr>
          <w:ilvl w:val="2"/>
          <w:numId w:val="6"/>
        </w:numPr>
        <w:spacing w:before="0" w:after="0"/>
        <w:contextualSpacing/>
      </w:pPr>
      <w:r>
        <w:rPr>
          <w:sz w:val="22"/>
          <w:szCs w:val="22"/>
        </w:rPr>
        <w:t>A list of the trained personnel that will be accompanying the project and the training they’ve completed.</w:t>
      </w:r>
    </w:p>
    <w:p w:rsidR="00502743" w:rsidRDefault="00502743">
      <w:pPr>
        <w:pStyle w:val="DefaultStyle"/>
        <w:ind w:left="720"/>
      </w:pPr>
    </w:p>
    <w:tbl>
      <w:tblPr>
        <w:tblW w:w="0" w:type="auto"/>
        <w:tblInd w:w="7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1910"/>
        <w:gridCol w:w="1784"/>
        <w:gridCol w:w="1991"/>
        <w:gridCol w:w="1513"/>
        <w:gridCol w:w="1658"/>
      </w:tblGrid>
      <w:tr w:rsidR="00502743">
        <w:trPr>
          <w:tblHeader/>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b/>
                <w:bCs/>
              </w:rPr>
              <w:t>Common Name of Material</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b/>
                <w:bCs/>
              </w:rPr>
              <w:t>Qty</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b/>
                <w:bCs/>
              </w:rPr>
              <w:t>Notes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b/>
                <w:bCs/>
              </w:rPr>
              <w:t>Trained Individual</w:t>
            </w: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DefaultStyle"/>
            </w:pPr>
            <w:r>
              <w:rPr>
                <w:b/>
                <w:bCs/>
              </w:rPr>
              <w:t>Spill</w:t>
            </w:r>
          </w:p>
          <w:p w:rsidR="00502743" w:rsidRDefault="00F9698A">
            <w:pPr>
              <w:pStyle w:val="DefaultStyle"/>
            </w:pPr>
            <w:r>
              <w:rPr>
                <w:b/>
                <w:bCs/>
              </w:rPr>
              <w:t>control</w:t>
            </w:r>
          </w:p>
        </w:tc>
      </w:tr>
      <w:tr w:rsidR="00502743">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Lithium 9v Batteries</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25</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DefaultStyle"/>
            </w:pPr>
            <w:r>
              <w:rPr>
                <w:rFonts w:eastAsia="Times New Roman"/>
              </w:rPr>
              <w:t xml:space="preserve">In </w:t>
            </w:r>
            <w:proofErr w:type="spellStart"/>
            <w:r>
              <w:rPr>
                <w:rFonts w:eastAsia="Times New Roman"/>
              </w:rPr>
              <w:t>SeaBird</w:t>
            </w:r>
            <w:proofErr w:type="spellEnd"/>
            <w:r>
              <w:rPr>
                <w:rFonts w:eastAsia="Times New Roman"/>
              </w:rPr>
              <w:t xml:space="preserve"> and </w:t>
            </w:r>
            <w:proofErr w:type="spellStart"/>
            <w:r>
              <w:rPr>
                <w:rFonts w:eastAsia="Times New Roman"/>
              </w:rPr>
              <w:t>Wetlabs</w:t>
            </w:r>
            <w:proofErr w:type="spellEnd"/>
            <w:r>
              <w:rPr>
                <w:rFonts w:eastAsia="Times New Roman"/>
              </w:rPr>
              <w:t xml:space="preserve"> Instruments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r>
              <w:rPr>
                <w:sz w:val="22"/>
                <w:szCs w:val="22"/>
              </w:rPr>
              <w:t xml:space="preserve"> </w:t>
            </w: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N/A</w:t>
            </w:r>
          </w:p>
        </w:tc>
      </w:tr>
      <w:tr w:rsidR="00502743">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Lithium AA Batteries</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12</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DefaultStyle"/>
            </w:pPr>
            <w:r>
              <w:t xml:space="preserve">In </w:t>
            </w:r>
            <w:proofErr w:type="spellStart"/>
            <w:r>
              <w:t>SeaBird</w:t>
            </w:r>
            <w:proofErr w:type="spellEnd"/>
            <w:r>
              <w:t xml:space="preserve"> instruments</w:t>
            </w:r>
          </w:p>
          <w:p w:rsidR="00502743" w:rsidRDefault="00F9698A">
            <w:pPr>
              <w:pStyle w:val="DefaultStyle"/>
            </w:pPr>
            <w:proofErr w:type="spellStart"/>
            <w:r>
              <w:t>Microcats</w:t>
            </w:r>
            <w:proofErr w:type="spellEnd"/>
            <w:r>
              <w:t xml:space="preserve"> </w:t>
            </w:r>
            <w:proofErr w:type="spellStart"/>
            <w:r>
              <w:t>Saft</w:t>
            </w:r>
            <w:proofErr w:type="spellEnd"/>
            <w:r>
              <w:t xml:space="preserve"> LS14500</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N/A</w:t>
            </w:r>
          </w:p>
        </w:tc>
      </w:tr>
      <w:tr w:rsidR="00502743">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Lithium D Cell Batteries</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40</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DefaultStyle"/>
            </w:pPr>
            <w:r>
              <w:t>In ISUS instrument</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N/A</w:t>
            </w:r>
          </w:p>
        </w:tc>
      </w:tr>
      <w:tr w:rsidR="00502743">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Sodium </w:t>
            </w:r>
            <w:proofErr w:type="spellStart"/>
            <w:r>
              <w:rPr>
                <w:sz w:val="22"/>
                <w:szCs w:val="22"/>
              </w:rPr>
              <w:t>Thiosulfate</w:t>
            </w:r>
            <w:proofErr w:type="spellEnd"/>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0.16M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bookmarkStart w:id="0" w:name="_GoBack1"/>
            <w:bookmarkEnd w:id="0"/>
            <w:r>
              <w:rPr>
                <w:sz w:val="22"/>
                <w:szCs w:val="22"/>
              </w:rPr>
              <w:t xml:space="preserve"> </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Dan </w:t>
            </w:r>
            <w:proofErr w:type="spellStart"/>
            <w:r>
              <w:rPr>
                <w:sz w:val="22"/>
                <w:szCs w:val="22"/>
              </w:rPr>
              <w:t>Naber</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ST</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proofErr w:type="spellStart"/>
            <w:r>
              <w:rPr>
                <w:sz w:val="22"/>
                <w:szCs w:val="22"/>
              </w:rPr>
              <w:lastRenderedPageBreak/>
              <w:t>Potasium</w:t>
            </w:r>
            <w:proofErr w:type="spellEnd"/>
            <w:r>
              <w:rPr>
                <w:sz w:val="22"/>
                <w:szCs w:val="22"/>
              </w:rPr>
              <w:t xml:space="preserve"> </w:t>
            </w:r>
            <w:proofErr w:type="spellStart"/>
            <w:r>
              <w:rPr>
                <w:sz w:val="22"/>
                <w:szCs w:val="22"/>
              </w:rPr>
              <w:t>Iodate</w:t>
            </w:r>
            <w:proofErr w:type="spellEnd"/>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0.0003M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Oxidizing, keep away from combustibles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Dan </w:t>
            </w:r>
            <w:proofErr w:type="spellStart"/>
            <w:r>
              <w:rPr>
                <w:sz w:val="22"/>
                <w:szCs w:val="22"/>
              </w:rPr>
              <w:t>Naber</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PI</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Sulfuric Acid</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0.5L of 5M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Clean up with Sodium Bicarbonate</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Dan </w:t>
            </w:r>
            <w:proofErr w:type="spellStart"/>
            <w:r>
              <w:rPr>
                <w:sz w:val="22"/>
                <w:szCs w:val="22"/>
              </w:rPr>
              <w:t>Naber</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A</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Sodium Hydroxide</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0.5L of 8M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Neutralize with available acid</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Dan </w:t>
            </w:r>
            <w:proofErr w:type="spellStart"/>
            <w:r>
              <w:rPr>
                <w:sz w:val="22"/>
                <w:szCs w:val="22"/>
              </w:rPr>
              <w:t>Naber</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B</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Manganese Chloride</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3M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Sweep up in case of spill</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Dan </w:t>
            </w:r>
            <w:proofErr w:type="spellStart"/>
            <w:r>
              <w:rPr>
                <w:sz w:val="22"/>
                <w:szCs w:val="22"/>
              </w:rPr>
              <w:t>Naber</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MC</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Mercuric Chloride</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0.1L 10% </w:t>
            </w:r>
            <w:proofErr w:type="spellStart"/>
            <w:r>
              <w:rPr>
                <w:sz w:val="22"/>
                <w:szCs w:val="22"/>
              </w:rPr>
              <w:t>Soln</w:t>
            </w:r>
            <w:proofErr w:type="spellEnd"/>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See ‘M’ below</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Dan </w:t>
            </w:r>
            <w:proofErr w:type="spellStart"/>
            <w:r>
              <w:rPr>
                <w:sz w:val="22"/>
                <w:szCs w:val="22"/>
              </w:rPr>
              <w:t>Naber</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M</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Manganese Chloride</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3M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For use with Oxygen titrations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502743">
            <w:pPr>
              <w:pStyle w:val="NormalWeb"/>
            </w:pP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Sodium Iodide/</w:t>
            </w:r>
            <w:proofErr w:type="spellStart"/>
            <w:r>
              <w:rPr>
                <w:sz w:val="22"/>
                <w:szCs w:val="22"/>
              </w:rPr>
              <w:t>NaOH</w:t>
            </w:r>
            <w:proofErr w:type="spellEnd"/>
            <w:r>
              <w:rPr>
                <w:sz w:val="22"/>
                <w:szCs w:val="22"/>
              </w:rPr>
              <w:t xml:space="preserve"> </w:t>
            </w:r>
            <w:proofErr w:type="spellStart"/>
            <w:r>
              <w:rPr>
                <w:sz w:val="22"/>
                <w:szCs w:val="22"/>
              </w:rPr>
              <w:t>Soln</w:t>
            </w:r>
            <w:proofErr w:type="spellEnd"/>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8M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For use with Oxygen titrations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B</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Sulfuric Acid</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5M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For use with Oxygen titrations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A</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Sodium </w:t>
            </w:r>
            <w:proofErr w:type="spellStart"/>
            <w:r>
              <w:rPr>
                <w:sz w:val="22"/>
                <w:szCs w:val="22"/>
              </w:rPr>
              <w:t>Thiosulfate</w:t>
            </w:r>
            <w:proofErr w:type="spellEnd"/>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0.11M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For use with Oxygen titrations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ST</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Potassium </w:t>
            </w:r>
            <w:proofErr w:type="spellStart"/>
            <w:r>
              <w:rPr>
                <w:sz w:val="22"/>
                <w:szCs w:val="22"/>
              </w:rPr>
              <w:t>Iodate</w:t>
            </w:r>
            <w:proofErr w:type="spellEnd"/>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1L of 0.00167M</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For use with Oxygen titrations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PI</w:t>
            </w:r>
          </w:p>
        </w:tc>
      </w:tr>
      <w:tr w:rsidR="00502743">
        <w:trPr>
          <w:cantSplit/>
        </w:trPr>
        <w:tc>
          <w:tcPr>
            <w:tcW w:w="191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proofErr w:type="spellStart"/>
            <w:r>
              <w:rPr>
                <w:sz w:val="22"/>
                <w:szCs w:val="22"/>
              </w:rPr>
              <w:t>Dihydrogen</w:t>
            </w:r>
            <w:proofErr w:type="spellEnd"/>
            <w:r>
              <w:rPr>
                <w:sz w:val="22"/>
                <w:szCs w:val="22"/>
              </w:rPr>
              <w:t xml:space="preserve"> Oxide</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20L</w:t>
            </w:r>
          </w:p>
        </w:tc>
        <w:tc>
          <w:tcPr>
            <w:tcW w:w="1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For use with Oxygen titrations</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 xml:space="preserve">Wm </w:t>
            </w:r>
            <w:proofErr w:type="spellStart"/>
            <w:r>
              <w:rPr>
                <w:sz w:val="22"/>
                <w:szCs w:val="22"/>
              </w:rPr>
              <w:t>Floering</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rPr>
                <w:sz w:val="22"/>
                <w:szCs w:val="22"/>
              </w:rPr>
              <w:t>W</w:t>
            </w:r>
          </w:p>
        </w:tc>
      </w:tr>
      <w:tr w:rsidR="00502743">
        <w:trPr>
          <w:cantSplit/>
        </w:trPr>
        <w:tc>
          <w:tcPr>
            <w:tcW w:w="1910"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Formaldehyde</w:t>
            </w:r>
          </w:p>
        </w:tc>
        <w:tc>
          <w:tcPr>
            <w:tcW w:w="1785"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30gal of 37%</w:t>
            </w:r>
          </w:p>
        </w:tc>
        <w:tc>
          <w:tcPr>
            <w:tcW w:w="1992"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For use with sample preservation</w:t>
            </w:r>
          </w:p>
        </w:tc>
        <w:tc>
          <w:tcPr>
            <w:tcW w:w="1513"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Matt Wilson</w:t>
            </w:r>
          </w:p>
        </w:tc>
        <w:tc>
          <w:tcPr>
            <w:tcW w:w="1659"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F</w:t>
            </w:r>
          </w:p>
        </w:tc>
      </w:tr>
      <w:tr w:rsidR="00502743">
        <w:trPr>
          <w:cantSplit/>
        </w:trPr>
        <w:tc>
          <w:tcPr>
            <w:tcW w:w="1910"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Ethanol</w:t>
            </w:r>
          </w:p>
        </w:tc>
        <w:tc>
          <w:tcPr>
            <w:tcW w:w="1785"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4-1gal jugs @ 100%</w:t>
            </w:r>
          </w:p>
        </w:tc>
        <w:tc>
          <w:tcPr>
            <w:tcW w:w="1992"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For use with sample preservation</w:t>
            </w:r>
          </w:p>
        </w:tc>
        <w:tc>
          <w:tcPr>
            <w:tcW w:w="1513"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Matt Wilson</w:t>
            </w:r>
          </w:p>
        </w:tc>
        <w:tc>
          <w:tcPr>
            <w:tcW w:w="1659"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E</w:t>
            </w:r>
          </w:p>
        </w:tc>
      </w:tr>
      <w:tr w:rsidR="00502743">
        <w:trPr>
          <w:cantSplit/>
        </w:trPr>
        <w:tc>
          <w:tcPr>
            <w:tcW w:w="1910"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Sodium Borate</w:t>
            </w:r>
          </w:p>
        </w:tc>
        <w:tc>
          <w:tcPr>
            <w:tcW w:w="1785"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 xml:space="preserve">5Gal 6% </w:t>
            </w:r>
            <w:proofErr w:type="spellStart"/>
            <w:r>
              <w:t>Soln</w:t>
            </w:r>
            <w:proofErr w:type="spellEnd"/>
          </w:p>
        </w:tc>
        <w:tc>
          <w:tcPr>
            <w:tcW w:w="1992"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For use with sample preservation</w:t>
            </w:r>
          </w:p>
        </w:tc>
        <w:tc>
          <w:tcPr>
            <w:tcW w:w="1513"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Matt Wilson</w:t>
            </w:r>
          </w:p>
        </w:tc>
        <w:tc>
          <w:tcPr>
            <w:tcW w:w="1659"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B</w:t>
            </w:r>
          </w:p>
        </w:tc>
      </w:tr>
      <w:tr w:rsidR="00502743">
        <w:trPr>
          <w:cantSplit/>
        </w:trPr>
        <w:tc>
          <w:tcPr>
            <w:tcW w:w="1910"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Sodium Borate</w:t>
            </w:r>
          </w:p>
        </w:tc>
        <w:tc>
          <w:tcPr>
            <w:tcW w:w="1785"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500g Dry Powder</w:t>
            </w:r>
          </w:p>
        </w:tc>
        <w:tc>
          <w:tcPr>
            <w:tcW w:w="1992"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For use with sample preservation</w:t>
            </w:r>
          </w:p>
        </w:tc>
        <w:tc>
          <w:tcPr>
            <w:tcW w:w="1513"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Matt Wilson</w:t>
            </w:r>
          </w:p>
        </w:tc>
        <w:tc>
          <w:tcPr>
            <w:tcW w:w="1659" w:type="dxa"/>
            <w:tcBorders>
              <w:left w:val="single" w:sz="4" w:space="0" w:color="00000A"/>
              <w:bottom w:val="single" w:sz="4" w:space="0" w:color="00000A"/>
              <w:right w:val="single" w:sz="4" w:space="0" w:color="00000A"/>
            </w:tcBorders>
            <w:shd w:val="clear" w:color="auto" w:fill="FFFFFF"/>
            <w:tcMar>
              <w:left w:w="93" w:type="dxa"/>
            </w:tcMar>
          </w:tcPr>
          <w:p w:rsidR="00502743" w:rsidRDefault="00F9698A">
            <w:pPr>
              <w:pStyle w:val="NormalWeb"/>
            </w:pPr>
            <w:r>
              <w:t>B</w:t>
            </w:r>
          </w:p>
        </w:tc>
      </w:tr>
    </w:tbl>
    <w:p w:rsidR="00502743" w:rsidRDefault="00502743">
      <w:pPr>
        <w:pStyle w:val="DefaultStyle"/>
        <w:ind w:left="720"/>
      </w:pPr>
    </w:p>
    <w:p w:rsidR="00502743" w:rsidRDefault="00F9698A">
      <w:pPr>
        <w:pStyle w:val="NormalWeb"/>
        <w:ind w:left="720"/>
      </w:pPr>
      <w:r>
        <w:rPr>
          <w:sz w:val="22"/>
          <w:szCs w:val="22"/>
        </w:rPr>
        <w:t>SPILL CONTROL</w:t>
      </w:r>
    </w:p>
    <w:p w:rsidR="00502743" w:rsidRDefault="00F9698A">
      <w:pPr>
        <w:pStyle w:val="DefaultStyle"/>
        <w:ind w:left="720"/>
      </w:pPr>
      <w:r>
        <w:rPr>
          <w:b/>
          <w:bCs/>
          <w:sz w:val="20"/>
          <w:szCs w:val="20"/>
        </w:rPr>
        <w:t>A: ACID</w:t>
      </w:r>
    </w:p>
    <w:p w:rsidR="00502743" w:rsidRDefault="00F9698A" w:rsidP="00AF2459">
      <w:pPr>
        <w:pStyle w:val="DefaultStyle"/>
        <w:numPr>
          <w:ilvl w:val="0"/>
          <w:numId w:val="5"/>
        </w:numPr>
        <w:ind w:left="1440"/>
      </w:pPr>
      <w:r>
        <w:rPr>
          <w:sz w:val="20"/>
          <w:szCs w:val="20"/>
        </w:rPr>
        <w:t>Wear appropriate protective equipment and clothing during clean-up. Keep upwind. Keep out of low areas.</w:t>
      </w:r>
    </w:p>
    <w:p w:rsidR="00502743" w:rsidRDefault="00F9698A" w:rsidP="00AF2459">
      <w:pPr>
        <w:pStyle w:val="DefaultStyle"/>
        <w:numPr>
          <w:ilvl w:val="0"/>
          <w:numId w:val="5"/>
        </w:numPr>
        <w:ind w:left="1440"/>
      </w:pPr>
      <w:r>
        <w:rPr>
          <w:sz w:val="20"/>
          <w:szCs w:val="20"/>
        </w:rPr>
        <w:t>Ventilate closed spaces before entering them.</w:t>
      </w:r>
    </w:p>
    <w:p w:rsidR="00502743" w:rsidRDefault="00F9698A" w:rsidP="00AF2459">
      <w:pPr>
        <w:pStyle w:val="DefaultStyle"/>
        <w:numPr>
          <w:ilvl w:val="0"/>
          <w:numId w:val="5"/>
        </w:numPr>
        <w:ind w:left="1440"/>
      </w:pPr>
      <w:r>
        <w:rPr>
          <w:sz w:val="20"/>
          <w:szCs w:val="20"/>
        </w:rPr>
        <w:t>Stop the flow of material, if this is without risk. Dike the spilled material, where this is possible.</w:t>
      </w:r>
    </w:p>
    <w:p w:rsidR="00502743" w:rsidRDefault="00F9698A" w:rsidP="00AF2459">
      <w:pPr>
        <w:pStyle w:val="DefaultStyle"/>
        <w:numPr>
          <w:ilvl w:val="0"/>
          <w:numId w:val="5"/>
        </w:numPr>
        <w:ind w:left="1440"/>
      </w:pPr>
      <w:r>
        <w:rPr>
          <w:b/>
          <w:bCs/>
          <w:sz w:val="20"/>
          <w:szCs w:val="20"/>
        </w:rPr>
        <w:lastRenderedPageBreak/>
        <w:t>Large Spills</w:t>
      </w:r>
      <w:r>
        <w:rPr>
          <w:sz w:val="20"/>
          <w:szCs w:val="20"/>
        </w:rPr>
        <w:t>: Dike far ahead of spill for later disposal. Use a non-combustible material like vermiculite, sand or earth to soak up the product and place into a container for later disposal.</w:t>
      </w:r>
    </w:p>
    <w:p w:rsidR="00502743" w:rsidRDefault="00F9698A" w:rsidP="00AF2459">
      <w:pPr>
        <w:pStyle w:val="DefaultStyle"/>
        <w:numPr>
          <w:ilvl w:val="0"/>
          <w:numId w:val="5"/>
        </w:numPr>
        <w:ind w:left="1440"/>
      </w:pPr>
      <w:r>
        <w:rPr>
          <w:b/>
          <w:bCs/>
          <w:sz w:val="20"/>
          <w:szCs w:val="20"/>
        </w:rPr>
        <w:t>Small Spills</w:t>
      </w:r>
      <w:r>
        <w:rPr>
          <w:sz w:val="20"/>
          <w:szCs w:val="20"/>
        </w:rPr>
        <w:t>: Wipe up with absorbent material (e.g. cloth, fleece). Clean surface thoroughly to remove residual contamination.</w:t>
      </w:r>
    </w:p>
    <w:p w:rsidR="00502743" w:rsidRDefault="00F9698A" w:rsidP="00AF2459">
      <w:pPr>
        <w:pStyle w:val="DefaultStyle"/>
        <w:numPr>
          <w:ilvl w:val="0"/>
          <w:numId w:val="5"/>
        </w:numPr>
        <w:ind w:left="1440"/>
      </w:pPr>
      <w:r>
        <w:rPr>
          <w:sz w:val="20"/>
          <w:szCs w:val="20"/>
        </w:rPr>
        <w:t>Never return spills in original containers for re-use.</w:t>
      </w:r>
    </w:p>
    <w:p w:rsidR="00502743" w:rsidRDefault="00F9698A" w:rsidP="00AF2459">
      <w:pPr>
        <w:pStyle w:val="DefaultStyle"/>
        <w:numPr>
          <w:ilvl w:val="0"/>
          <w:numId w:val="5"/>
        </w:numPr>
        <w:ind w:left="1440"/>
      </w:pPr>
      <w:r>
        <w:rPr>
          <w:sz w:val="20"/>
          <w:szCs w:val="20"/>
        </w:rPr>
        <w:t>Neutralize spill area and washings with soda ash or lime. Collect in a non-combustible container for prompt disposal.</w:t>
      </w:r>
    </w:p>
    <w:p w:rsidR="00502743" w:rsidRDefault="00F9698A" w:rsidP="00AF2459">
      <w:pPr>
        <w:pStyle w:val="DefaultStyle"/>
        <w:numPr>
          <w:ilvl w:val="0"/>
          <w:numId w:val="5"/>
        </w:numPr>
        <w:ind w:left="1440"/>
      </w:pPr>
      <w:r>
        <w:rPr>
          <w:sz w:val="20"/>
          <w:szCs w:val="20"/>
        </w:rPr>
        <w:t>J. T. Baker NEUTRASORB® acid neutralizers are recommended for spills of this product.</w:t>
      </w:r>
    </w:p>
    <w:p w:rsidR="00502743" w:rsidRDefault="00502743">
      <w:pPr>
        <w:pStyle w:val="DefaultStyle"/>
        <w:ind w:left="720"/>
      </w:pPr>
    </w:p>
    <w:p w:rsidR="00502743" w:rsidRDefault="00F9698A">
      <w:pPr>
        <w:pStyle w:val="DefaultStyle"/>
        <w:ind w:left="720"/>
      </w:pPr>
      <w:r>
        <w:rPr>
          <w:b/>
          <w:sz w:val="20"/>
          <w:szCs w:val="20"/>
        </w:rPr>
        <w:t>B</w:t>
      </w:r>
      <w:proofErr w:type="gramStart"/>
      <w:r>
        <w:rPr>
          <w:b/>
          <w:sz w:val="20"/>
          <w:szCs w:val="20"/>
        </w:rPr>
        <w:t>:Base</w:t>
      </w:r>
      <w:proofErr w:type="gramEnd"/>
    </w:p>
    <w:p w:rsidR="00502743" w:rsidRDefault="00F9698A">
      <w:pPr>
        <w:pStyle w:val="ListParagraph"/>
        <w:numPr>
          <w:ilvl w:val="0"/>
          <w:numId w:val="10"/>
        </w:numPr>
        <w:spacing w:after="0"/>
      </w:pPr>
      <w:r>
        <w:rPr>
          <w:sz w:val="20"/>
          <w:szCs w:val="20"/>
        </w:rPr>
        <w:t>Use proper PPE.</w:t>
      </w:r>
    </w:p>
    <w:p w:rsidR="00502743" w:rsidRDefault="00F9698A">
      <w:pPr>
        <w:pStyle w:val="ListParagraph"/>
        <w:numPr>
          <w:ilvl w:val="0"/>
          <w:numId w:val="10"/>
        </w:numPr>
        <w:spacing w:after="0"/>
      </w:pPr>
      <w:r>
        <w:rPr>
          <w:sz w:val="20"/>
          <w:szCs w:val="20"/>
        </w:rPr>
        <w:t>Ventilate area.</w:t>
      </w:r>
    </w:p>
    <w:p w:rsidR="00502743" w:rsidRDefault="00F9698A">
      <w:pPr>
        <w:pStyle w:val="ListParagraph"/>
        <w:numPr>
          <w:ilvl w:val="0"/>
          <w:numId w:val="10"/>
        </w:numPr>
        <w:spacing w:after="0"/>
      </w:pPr>
      <w:r>
        <w:rPr>
          <w:sz w:val="20"/>
          <w:szCs w:val="20"/>
        </w:rPr>
        <w:t xml:space="preserve">Neutralize with dilute acid such as </w:t>
      </w:r>
      <w:proofErr w:type="spellStart"/>
      <w:r>
        <w:rPr>
          <w:sz w:val="20"/>
          <w:szCs w:val="20"/>
        </w:rPr>
        <w:t>HCl</w:t>
      </w:r>
      <w:proofErr w:type="spellEnd"/>
      <w:r>
        <w:rPr>
          <w:sz w:val="20"/>
          <w:szCs w:val="20"/>
        </w:rPr>
        <w:t xml:space="preserve"> if possible.</w:t>
      </w:r>
    </w:p>
    <w:p w:rsidR="00502743" w:rsidRDefault="00F9698A">
      <w:pPr>
        <w:pStyle w:val="ListParagraph"/>
        <w:numPr>
          <w:ilvl w:val="0"/>
          <w:numId w:val="10"/>
        </w:numPr>
        <w:spacing w:after="0"/>
      </w:pPr>
      <w:r>
        <w:rPr>
          <w:sz w:val="20"/>
          <w:szCs w:val="20"/>
        </w:rPr>
        <w:t>Absorb with cat litter or vermiculite.</w:t>
      </w:r>
    </w:p>
    <w:p w:rsidR="00502743" w:rsidRDefault="00F9698A">
      <w:pPr>
        <w:pStyle w:val="ListParagraph"/>
        <w:numPr>
          <w:ilvl w:val="0"/>
          <w:numId w:val="10"/>
        </w:numPr>
        <w:spacing w:after="0"/>
      </w:pPr>
      <w:r>
        <w:rPr>
          <w:sz w:val="20"/>
          <w:szCs w:val="20"/>
        </w:rPr>
        <w:t>Vacuum or sweep up material and place into suitable disposal container.</w:t>
      </w:r>
    </w:p>
    <w:p w:rsidR="00502743" w:rsidRDefault="00F9698A">
      <w:pPr>
        <w:pStyle w:val="ListParagraph"/>
        <w:numPr>
          <w:ilvl w:val="0"/>
          <w:numId w:val="10"/>
        </w:numPr>
        <w:spacing w:after="0"/>
      </w:pPr>
      <w:r>
        <w:rPr>
          <w:sz w:val="20"/>
          <w:szCs w:val="20"/>
        </w:rPr>
        <w:t xml:space="preserve">Do not </w:t>
      </w:r>
      <w:proofErr w:type="gramStart"/>
      <w:r>
        <w:rPr>
          <w:sz w:val="20"/>
          <w:szCs w:val="20"/>
        </w:rPr>
        <w:t>breath</w:t>
      </w:r>
      <w:proofErr w:type="gramEnd"/>
      <w:r>
        <w:rPr>
          <w:sz w:val="20"/>
          <w:szCs w:val="20"/>
        </w:rPr>
        <w:t xml:space="preserve"> dust.</w:t>
      </w:r>
    </w:p>
    <w:p w:rsidR="00502743" w:rsidRDefault="00F9698A">
      <w:pPr>
        <w:pStyle w:val="ListParagraph"/>
        <w:numPr>
          <w:ilvl w:val="0"/>
          <w:numId w:val="10"/>
        </w:numPr>
        <w:spacing w:after="0"/>
      </w:pPr>
      <w:r>
        <w:rPr>
          <w:sz w:val="20"/>
          <w:szCs w:val="20"/>
        </w:rPr>
        <w:t>Do not get water on spilled substances.</w:t>
      </w:r>
    </w:p>
    <w:p w:rsidR="00502743" w:rsidRDefault="00502743">
      <w:pPr>
        <w:pStyle w:val="DefaultStyle"/>
        <w:ind w:left="720"/>
      </w:pPr>
    </w:p>
    <w:p w:rsidR="00502743" w:rsidRDefault="00F9698A">
      <w:pPr>
        <w:pStyle w:val="DefaultStyle"/>
        <w:ind w:left="720"/>
      </w:pPr>
      <w:r>
        <w:rPr>
          <w:b/>
          <w:bCs/>
          <w:sz w:val="20"/>
          <w:szCs w:val="20"/>
        </w:rPr>
        <w:t>M: Mercury</w:t>
      </w:r>
    </w:p>
    <w:p w:rsidR="00502743" w:rsidRDefault="00F9698A" w:rsidP="00AF2459">
      <w:pPr>
        <w:pStyle w:val="DefaultStyle"/>
        <w:numPr>
          <w:ilvl w:val="0"/>
          <w:numId w:val="7"/>
        </w:numPr>
        <w:tabs>
          <w:tab w:val="clear" w:pos="720"/>
          <w:tab w:val="num" w:pos="1080"/>
        </w:tabs>
        <w:ind w:left="1440"/>
      </w:pPr>
      <w:r>
        <w:rPr>
          <w:sz w:val="20"/>
          <w:szCs w:val="20"/>
        </w:rPr>
        <w:t>Spills: Pick up and place in a suitable container for reclamation or disposal in a method that does not generate dust. Sprinkle area with sulfur or calcium polysulfide to suppress mercury. Use Mercury Spill Kit if need be.</w:t>
      </w:r>
    </w:p>
    <w:p w:rsidR="00502743" w:rsidRDefault="00502743">
      <w:pPr>
        <w:pStyle w:val="DefaultStyle"/>
        <w:ind w:left="720"/>
      </w:pPr>
    </w:p>
    <w:p w:rsidR="00502743" w:rsidRDefault="00F9698A">
      <w:pPr>
        <w:pStyle w:val="DefaultStyle"/>
        <w:ind w:left="720"/>
      </w:pPr>
      <w:r>
        <w:rPr>
          <w:b/>
          <w:bCs/>
          <w:sz w:val="20"/>
          <w:szCs w:val="20"/>
        </w:rPr>
        <w:t>F: Formalin/Formaldehyde</w:t>
      </w:r>
    </w:p>
    <w:p w:rsidR="00502743" w:rsidRDefault="00F9698A" w:rsidP="00AF2459">
      <w:pPr>
        <w:pStyle w:val="DefaultStyle"/>
        <w:numPr>
          <w:ilvl w:val="0"/>
          <w:numId w:val="6"/>
        </w:numPr>
        <w:ind w:left="1440"/>
      </w:pPr>
      <w:r>
        <w:rPr>
          <w:sz w:val="20"/>
          <w:szCs w:val="20"/>
        </w:rPr>
        <w:t>Ventilate area of leak or spill. Remove all sources of ignition.</w:t>
      </w:r>
    </w:p>
    <w:p w:rsidR="00502743" w:rsidRDefault="00F9698A" w:rsidP="00AF2459">
      <w:pPr>
        <w:pStyle w:val="DefaultStyle"/>
        <w:numPr>
          <w:ilvl w:val="0"/>
          <w:numId w:val="6"/>
        </w:numPr>
        <w:ind w:left="1440"/>
      </w:pPr>
      <w:r>
        <w:rPr>
          <w:sz w:val="20"/>
          <w:szCs w:val="20"/>
        </w:rPr>
        <w:t xml:space="preserve">Wear appropriate personal protective equipment. </w:t>
      </w:r>
    </w:p>
    <w:p w:rsidR="00502743" w:rsidRDefault="00F9698A" w:rsidP="00AF2459">
      <w:pPr>
        <w:pStyle w:val="DefaultStyle"/>
        <w:numPr>
          <w:ilvl w:val="0"/>
          <w:numId w:val="6"/>
        </w:numPr>
        <w:ind w:left="1440"/>
      </w:pPr>
      <w:r>
        <w:rPr>
          <w:sz w:val="20"/>
          <w:szCs w:val="20"/>
        </w:rPr>
        <w:t>Isolate hazard area. Keep unnecessary and unprotected personnel from entering. Contain and recover liquid when possible.</w:t>
      </w:r>
    </w:p>
    <w:p w:rsidR="00502743" w:rsidRDefault="00F9698A" w:rsidP="00AF2459">
      <w:pPr>
        <w:pStyle w:val="DefaultStyle"/>
        <w:numPr>
          <w:ilvl w:val="0"/>
          <w:numId w:val="6"/>
        </w:numPr>
        <w:ind w:left="1440"/>
      </w:pPr>
      <w:r>
        <w:rPr>
          <w:sz w:val="20"/>
          <w:szCs w:val="20"/>
        </w:rPr>
        <w:t>Use non-sparking tools and equipment. Collect liquid in an appropriate container or absorb with an inert material (e. g., vermiculite, dry sand, earth), and place in a chemical waste container.</w:t>
      </w:r>
    </w:p>
    <w:p w:rsidR="00502743" w:rsidRDefault="00F9698A" w:rsidP="00AF2459">
      <w:pPr>
        <w:pStyle w:val="DefaultStyle"/>
        <w:numPr>
          <w:ilvl w:val="0"/>
          <w:numId w:val="6"/>
        </w:numPr>
        <w:ind w:left="1440"/>
      </w:pPr>
      <w:r>
        <w:rPr>
          <w:sz w:val="20"/>
          <w:szCs w:val="20"/>
        </w:rPr>
        <w:t>Do not use combustible materials, such as saw dust.</w:t>
      </w:r>
    </w:p>
    <w:p w:rsidR="00502743" w:rsidRDefault="00502743">
      <w:pPr>
        <w:pStyle w:val="DefaultStyle"/>
      </w:pPr>
    </w:p>
    <w:p w:rsidR="00502743" w:rsidRDefault="00F9698A">
      <w:pPr>
        <w:pStyle w:val="DefaultStyle"/>
        <w:ind w:left="720"/>
      </w:pPr>
      <w:proofErr w:type="spellStart"/>
      <w:r>
        <w:rPr>
          <w:b/>
          <w:sz w:val="20"/>
          <w:szCs w:val="20"/>
        </w:rPr>
        <w:t>PI</w:t>
      </w:r>
      <w:proofErr w:type="gramStart"/>
      <w:r>
        <w:rPr>
          <w:b/>
          <w:sz w:val="20"/>
          <w:szCs w:val="20"/>
        </w:rPr>
        <w:t>:Potassium</w:t>
      </w:r>
      <w:proofErr w:type="spellEnd"/>
      <w:proofErr w:type="gramEnd"/>
      <w:r>
        <w:rPr>
          <w:b/>
          <w:sz w:val="20"/>
          <w:szCs w:val="20"/>
        </w:rPr>
        <w:t xml:space="preserve"> </w:t>
      </w:r>
      <w:proofErr w:type="spellStart"/>
      <w:r>
        <w:rPr>
          <w:b/>
          <w:sz w:val="20"/>
          <w:szCs w:val="20"/>
        </w:rPr>
        <w:t>Iodate</w:t>
      </w:r>
      <w:proofErr w:type="spellEnd"/>
    </w:p>
    <w:p w:rsidR="00502743" w:rsidRDefault="00F9698A">
      <w:pPr>
        <w:pStyle w:val="ListParagraph"/>
        <w:numPr>
          <w:ilvl w:val="0"/>
          <w:numId w:val="11"/>
        </w:numPr>
        <w:spacing w:after="0"/>
      </w:pPr>
      <w:r>
        <w:rPr>
          <w:sz w:val="20"/>
          <w:szCs w:val="20"/>
        </w:rPr>
        <w:t>Avoid Contact with combustibles (wood, paper, clothing …).</w:t>
      </w:r>
    </w:p>
    <w:p w:rsidR="00502743" w:rsidRDefault="00F9698A">
      <w:pPr>
        <w:pStyle w:val="ListParagraph"/>
        <w:numPr>
          <w:ilvl w:val="0"/>
          <w:numId w:val="11"/>
        </w:numPr>
        <w:spacing w:after="0"/>
      </w:pPr>
      <w:r>
        <w:rPr>
          <w:sz w:val="20"/>
          <w:szCs w:val="20"/>
        </w:rPr>
        <w:t>Keep substance damp with water spray.</w:t>
      </w:r>
    </w:p>
    <w:p w:rsidR="00502743" w:rsidRDefault="00F9698A">
      <w:pPr>
        <w:pStyle w:val="ListParagraph"/>
        <w:numPr>
          <w:ilvl w:val="0"/>
          <w:numId w:val="11"/>
        </w:numPr>
        <w:spacing w:after="0"/>
      </w:pPr>
      <w:r>
        <w:rPr>
          <w:sz w:val="20"/>
          <w:szCs w:val="20"/>
        </w:rPr>
        <w:t>Vacuum or sweep up material and place into suitable disposable container (plastic bag).</w:t>
      </w:r>
    </w:p>
    <w:p w:rsidR="00502743" w:rsidRDefault="00502743">
      <w:pPr>
        <w:pStyle w:val="ListParagraph"/>
        <w:spacing w:after="0"/>
        <w:ind w:left="1440"/>
      </w:pPr>
    </w:p>
    <w:p w:rsidR="00502743" w:rsidRDefault="00F9698A">
      <w:pPr>
        <w:pStyle w:val="DefaultStyle"/>
        <w:ind w:left="720"/>
      </w:pPr>
      <w:proofErr w:type="spellStart"/>
      <w:r>
        <w:rPr>
          <w:b/>
          <w:sz w:val="20"/>
          <w:szCs w:val="20"/>
        </w:rPr>
        <w:t>MC</w:t>
      </w:r>
      <w:proofErr w:type="gramStart"/>
      <w:r>
        <w:rPr>
          <w:b/>
          <w:sz w:val="20"/>
          <w:szCs w:val="20"/>
        </w:rPr>
        <w:t>:Mercuric</w:t>
      </w:r>
      <w:proofErr w:type="spellEnd"/>
      <w:proofErr w:type="gramEnd"/>
      <w:r>
        <w:rPr>
          <w:b/>
          <w:sz w:val="20"/>
          <w:szCs w:val="20"/>
        </w:rPr>
        <w:t xml:space="preserve"> Chloride</w:t>
      </w:r>
    </w:p>
    <w:p w:rsidR="00502743" w:rsidRDefault="00F9698A">
      <w:pPr>
        <w:pStyle w:val="ListParagraph"/>
        <w:numPr>
          <w:ilvl w:val="0"/>
          <w:numId w:val="12"/>
        </w:numPr>
        <w:spacing w:after="0"/>
      </w:pPr>
      <w:r>
        <w:rPr>
          <w:sz w:val="20"/>
          <w:szCs w:val="20"/>
        </w:rPr>
        <w:t>Vacuum or sweep up material and place into suitable disposable container (plastic bag).</w:t>
      </w:r>
    </w:p>
    <w:p w:rsidR="00502743" w:rsidRDefault="00F9698A">
      <w:pPr>
        <w:pStyle w:val="ListParagraph"/>
        <w:numPr>
          <w:ilvl w:val="0"/>
          <w:numId w:val="12"/>
        </w:numPr>
        <w:spacing w:after="0"/>
      </w:pPr>
      <w:r>
        <w:rPr>
          <w:sz w:val="20"/>
          <w:szCs w:val="20"/>
        </w:rPr>
        <w:t>Wear SCBA or other appropriate breathing apparatus and PPE.</w:t>
      </w:r>
    </w:p>
    <w:p w:rsidR="00502743" w:rsidRDefault="00F9698A">
      <w:pPr>
        <w:pStyle w:val="ListParagraph"/>
        <w:numPr>
          <w:ilvl w:val="0"/>
          <w:numId w:val="12"/>
        </w:numPr>
        <w:spacing w:after="0"/>
      </w:pPr>
      <w:r>
        <w:rPr>
          <w:sz w:val="20"/>
          <w:szCs w:val="20"/>
        </w:rPr>
        <w:t>Avoid breathing dust.</w:t>
      </w:r>
    </w:p>
    <w:p w:rsidR="00502743" w:rsidRDefault="00F9698A">
      <w:pPr>
        <w:pStyle w:val="ListParagraph"/>
        <w:numPr>
          <w:ilvl w:val="0"/>
          <w:numId w:val="12"/>
        </w:numPr>
        <w:spacing w:after="0"/>
      </w:pPr>
      <w:r>
        <w:rPr>
          <w:sz w:val="20"/>
          <w:szCs w:val="20"/>
        </w:rPr>
        <w:t>Keep in closed container for disposal.</w:t>
      </w:r>
    </w:p>
    <w:p w:rsidR="00502743" w:rsidRDefault="00502743">
      <w:pPr>
        <w:pStyle w:val="DefaultStyle"/>
      </w:pPr>
    </w:p>
    <w:p w:rsidR="00502743" w:rsidRDefault="00F9698A">
      <w:pPr>
        <w:pStyle w:val="DefaultStyle"/>
        <w:ind w:left="720"/>
      </w:pPr>
      <w:r>
        <w:rPr>
          <w:b/>
          <w:sz w:val="20"/>
          <w:szCs w:val="20"/>
        </w:rPr>
        <w:t xml:space="preserve">ST: Sodium </w:t>
      </w:r>
      <w:proofErr w:type="spellStart"/>
      <w:r>
        <w:rPr>
          <w:b/>
          <w:sz w:val="20"/>
          <w:szCs w:val="20"/>
        </w:rPr>
        <w:t>Thiosulfate</w:t>
      </w:r>
      <w:proofErr w:type="spellEnd"/>
    </w:p>
    <w:p w:rsidR="00502743" w:rsidRDefault="00F9698A">
      <w:pPr>
        <w:pStyle w:val="ListParagraph"/>
        <w:numPr>
          <w:ilvl w:val="0"/>
          <w:numId w:val="13"/>
        </w:numPr>
        <w:spacing w:after="0"/>
      </w:pPr>
      <w:r>
        <w:rPr>
          <w:sz w:val="20"/>
          <w:szCs w:val="20"/>
        </w:rPr>
        <w:t xml:space="preserve">Ventilate area of leak or spill. </w:t>
      </w:r>
    </w:p>
    <w:p w:rsidR="00502743" w:rsidRDefault="00F9698A">
      <w:pPr>
        <w:pStyle w:val="ListParagraph"/>
        <w:numPr>
          <w:ilvl w:val="0"/>
          <w:numId w:val="13"/>
        </w:numPr>
        <w:spacing w:after="0"/>
      </w:pPr>
      <w:r>
        <w:rPr>
          <w:sz w:val="20"/>
          <w:szCs w:val="20"/>
        </w:rPr>
        <w:t xml:space="preserve">Wear protective gloves and clean body-covering </w:t>
      </w:r>
    </w:p>
    <w:p w:rsidR="00502743" w:rsidRDefault="00F9698A">
      <w:pPr>
        <w:pStyle w:val="ListParagraph"/>
        <w:numPr>
          <w:ilvl w:val="0"/>
          <w:numId w:val="13"/>
        </w:numPr>
        <w:spacing w:after="0"/>
      </w:pPr>
      <w:r>
        <w:rPr>
          <w:sz w:val="20"/>
          <w:szCs w:val="20"/>
        </w:rPr>
        <w:t>Use chemical safety goggles. Maintain eye wash fountain and quick-drench facilities in work area.</w:t>
      </w:r>
    </w:p>
    <w:p w:rsidR="00502743" w:rsidRDefault="00F9698A">
      <w:pPr>
        <w:pStyle w:val="ListParagraph"/>
        <w:numPr>
          <w:ilvl w:val="0"/>
          <w:numId w:val="13"/>
        </w:numPr>
        <w:spacing w:after="0"/>
      </w:pPr>
      <w:r>
        <w:rPr>
          <w:sz w:val="20"/>
          <w:szCs w:val="20"/>
        </w:rPr>
        <w:lastRenderedPageBreak/>
        <w:t>Recover liquid or particulate in 5 gallon bucket.  Absorb with a kitty litter and place in disposable bag.  Do not use combustible materials, such as saw dust to absorb.</w:t>
      </w:r>
    </w:p>
    <w:p w:rsidR="00502743" w:rsidRDefault="00502743">
      <w:pPr>
        <w:pStyle w:val="DefaultStyle"/>
        <w:ind w:left="720"/>
      </w:pPr>
    </w:p>
    <w:p w:rsidR="00502743" w:rsidRDefault="00F9698A">
      <w:pPr>
        <w:pStyle w:val="DefaultStyle"/>
        <w:ind w:left="720"/>
      </w:pPr>
      <w:r>
        <w:rPr>
          <w:b/>
          <w:sz w:val="20"/>
          <w:szCs w:val="20"/>
        </w:rPr>
        <w:t>W:  Water</w:t>
      </w:r>
    </w:p>
    <w:p w:rsidR="00502743" w:rsidRDefault="00F9698A">
      <w:pPr>
        <w:pStyle w:val="ListParagraph"/>
        <w:numPr>
          <w:ilvl w:val="0"/>
          <w:numId w:val="9"/>
        </w:numPr>
        <w:spacing w:after="0"/>
      </w:pPr>
      <w:r>
        <w:rPr>
          <w:sz w:val="20"/>
          <w:szCs w:val="20"/>
        </w:rPr>
        <w:t>Absorb the liquid and wash with water</w:t>
      </w:r>
    </w:p>
    <w:p w:rsidR="00502743" w:rsidRDefault="00F9698A">
      <w:pPr>
        <w:pStyle w:val="ListParagraph"/>
        <w:numPr>
          <w:ilvl w:val="0"/>
          <w:numId w:val="9"/>
        </w:numPr>
        <w:spacing w:after="0"/>
      </w:pPr>
      <w:r>
        <w:rPr>
          <w:sz w:val="20"/>
          <w:szCs w:val="20"/>
        </w:rPr>
        <w:t>Wear PPE</w:t>
      </w:r>
    </w:p>
    <w:p w:rsidR="00502743" w:rsidRDefault="00502743">
      <w:pPr>
        <w:pStyle w:val="ListParagraph"/>
        <w:spacing w:after="0"/>
        <w:ind w:left="1455" w:hanging="360"/>
      </w:pPr>
    </w:p>
    <w:p w:rsidR="00502743" w:rsidRDefault="00F9698A">
      <w:pPr>
        <w:pStyle w:val="ListParagraph"/>
        <w:spacing w:after="0"/>
        <w:ind w:left="750"/>
      </w:pPr>
      <w:r>
        <w:rPr>
          <w:b/>
          <w:bCs/>
          <w:sz w:val="20"/>
          <w:szCs w:val="20"/>
        </w:rPr>
        <w:t>E: Ethanol</w:t>
      </w:r>
    </w:p>
    <w:p w:rsidR="00502743" w:rsidRDefault="00F9698A">
      <w:pPr>
        <w:pStyle w:val="ListParagraph"/>
        <w:numPr>
          <w:ilvl w:val="0"/>
          <w:numId w:val="14"/>
        </w:numPr>
        <w:spacing w:after="0"/>
      </w:pPr>
      <w:r>
        <w:rPr>
          <w:sz w:val="20"/>
          <w:szCs w:val="20"/>
        </w:rPr>
        <w:t>Eliminate all ignition sources</w:t>
      </w:r>
    </w:p>
    <w:p w:rsidR="00502743" w:rsidRDefault="00F9698A">
      <w:pPr>
        <w:pStyle w:val="ListParagraph"/>
        <w:numPr>
          <w:ilvl w:val="0"/>
          <w:numId w:val="14"/>
        </w:numPr>
        <w:spacing w:after="0"/>
      </w:pPr>
      <w:r>
        <w:rPr>
          <w:sz w:val="20"/>
          <w:szCs w:val="20"/>
        </w:rPr>
        <w:t>Wear PPE</w:t>
      </w:r>
    </w:p>
    <w:p w:rsidR="00502743" w:rsidRDefault="00F9698A">
      <w:pPr>
        <w:pStyle w:val="ListParagraph"/>
        <w:numPr>
          <w:ilvl w:val="0"/>
          <w:numId w:val="14"/>
        </w:numPr>
        <w:spacing w:after="0"/>
      </w:pPr>
      <w:r>
        <w:rPr>
          <w:sz w:val="20"/>
          <w:szCs w:val="20"/>
        </w:rPr>
        <w:t>Dilute with water</w:t>
      </w:r>
    </w:p>
    <w:p w:rsidR="00502743" w:rsidRDefault="00502743">
      <w:pPr>
        <w:pStyle w:val="DefaultStyle"/>
        <w:ind w:left="720"/>
        <w:contextualSpacing/>
      </w:pPr>
    </w:p>
    <w:p w:rsidR="00502743" w:rsidRPr="009979B5" w:rsidRDefault="00F9698A">
      <w:pPr>
        <w:pStyle w:val="DefaultStyle"/>
        <w:ind w:left="720"/>
        <w:contextualSpacing/>
        <w:rPr>
          <w:color w:val="000000" w:themeColor="text1"/>
        </w:rPr>
      </w:pPr>
      <w:r w:rsidRPr="009979B5">
        <w:rPr>
          <w:color w:val="000000" w:themeColor="text1"/>
          <w:sz w:val="20"/>
          <w:szCs w:val="20"/>
        </w:rPr>
        <w:t>Inventory of Spill Kit supplies</w:t>
      </w:r>
    </w:p>
    <w:tbl>
      <w:tblPr>
        <w:tblW w:w="0" w:type="auto"/>
        <w:tblInd w:w="695" w:type="dxa"/>
        <w:tblBorders>
          <w:top w:val="single" w:sz="4" w:space="0" w:color="000001"/>
          <w:left w:val="single" w:sz="4" w:space="0" w:color="000001"/>
          <w:bottom w:val="single" w:sz="4" w:space="0" w:color="000001"/>
          <w:insideH w:val="single" w:sz="4" w:space="0" w:color="000001"/>
        </w:tblBorders>
        <w:tblCellMar>
          <w:left w:w="83" w:type="dxa"/>
        </w:tblCellMar>
        <w:tblLook w:val="0000"/>
      </w:tblPr>
      <w:tblGrid>
        <w:gridCol w:w="1814"/>
        <w:gridCol w:w="1170"/>
        <w:gridCol w:w="3236"/>
        <w:gridCol w:w="2633"/>
      </w:tblGrid>
      <w:tr w:rsidR="00502743">
        <w:tc>
          <w:tcPr>
            <w:tcW w:w="1814" w:type="dxa"/>
            <w:tcBorders>
              <w:top w:val="single" w:sz="4" w:space="0" w:color="000001"/>
              <w:left w:val="single" w:sz="4" w:space="0" w:color="000001"/>
              <w:bottom w:val="single" w:sz="4" w:space="0" w:color="000001"/>
            </w:tcBorders>
            <w:shd w:val="clear" w:color="auto" w:fill="FFFFFF"/>
            <w:tcMar>
              <w:left w:w="83" w:type="dxa"/>
            </w:tcMar>
          </w:tcPr>
          <w:p w:rsidR="00502743" w:rsidRPr="009979B5" w:rsidRDefault="00F9698A">
            <w:pPr>
              <w:pStyle w:val="DefaultStyle"/>
              <w:contextualSpacing/>
              <w:rPr>
                <w:color w:val="000000" w:themeColor="text1"/>
              </w:rPr>
            </w:pPr>
            <w:r w:rsidRPr="009979B5">
              <w:rPr>
                <w:color w:val="000000" w:themeColor="text1"/>
              </w:rPr>
              <w:t>Product Name</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502743" w:rsidRPr="009979B5" w:rsidRDefault="00F9698A">
            <w:pPr>
              <w:pStyle w:val="DefaultStyle"/>
              <w:contextualSpacing/>
              <w:rPr>
                <w:color w:val="000000" w:themeColor="text1"/>
              </w:rPr>
            </w:pPr>
            <w:r w:rsidRPr="009979B5">
              <w:rPr>
                <w:color w:val="000000" w:themeColor="text1"/>
              </w:rPr>
              <w:t>Amount</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502743" w:rsidRPr="009979B5" w:rsidRDefault="00F9698A">
            <w:pPr>
              <w:pStyle w:val="DefaultStyle"/>
              <w:contextualSpacing/>
              <w:rPr>
                <w:color w:val="000000" w:themeColor="text1"/>
              </w:rPr>
            </w:pPr>
            <w:r w:rsidRPr="009979B5">
              <w:rPr>
                <w:color w:val="000000" w:themeColor="text1"/>
              </w:rPr>
              <w:t>Chemicals it is useful against</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Pr="009979B5" w:rsidRDefault="00F9698A">
            <w:pPr>
              <w:pStyle w:val="DefaultStyle"/>
              <w:contextualSpacing/>
              <w:rPr>
                <w:color w:val="000000" w:themeColor="text1"/>
              </w:rPr>
            </w:pPr>
            <w:r w:rsidRPr="009979B5">
              <w:rPr>
                <w:color w:val="000000" w:themeColor="text1"/>
              </w:rPr>
              <w:t>Amount it can clean up</w:t>
            </w:r>
          </w:p>
        </w:tc>
      </w:tr>
      <w:tr w:rsidR="00502743">
        <w:tc>
          <w:tcPr>
            <w:tcW w:w="1814" w:type="dxa"/>
            <w:tcBorders>
              <w:top w:val="single" w:sz="4" w:space="0" w:color="000001"/>
              <w:left w:val="single" w:sz="4" w:space="0" w:color="000001"/>
              <w:bottom w:val="single" w:sz="4" w:space="0" w:color="000001"/>
            </w:tcBorders>
            <w:shd w:val="clear" w:color="auto" w:fill="FFFFFF"/>
            <w:tcMar>
              <w:left w:w="83" w:type="dxa"/>
            </w:tcMar>
          </w:tcPr>
          <w:p w:rsidR="00502743" w:rsidRDefault="009979B5">
            <w:pPr>
              <w:pStyle w:val="DefaultStyle"/>
              <w:contextualSpacing/>
            </w:pPr>
            <w:proofErr w:type="spellStart"/>
            <w:r>
              <w:t>Formalex</w:t>
            </w:r>
            <w:proofErr w:type="spellEnd"/>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502743" w:rsidRDefault="009979B5">
            <w:pPr>
              <w:pStyle w:val="DefaultStyle"/>
              <w:contextualSpacing/>
            </w:pPr>
            <w:r>
              <w:t>1.5 Gal</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502743" w:rsidRDefault="009979B5">
            <w:pPr>
              <w:pStyle w:val="DefaultStyle"/>
              <w:contextualSpacing/>
            </w:pPr>
            <w:r>
              <w:t>Formaldehyde</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9979B5">
            <w:pPr>
              <w:pStyle w:val="DefaultStyle"/>
              <w:contextualSpacing/>
            </w:pPr>
            <w:r>
              <w:t>15 gal</w:t>
            </w:r>
          </w:p>
        </w:tc>
      </w:tr>
      <w:tr w:rsidR="00502743">
        <w:tc>
          <w:tcPr>
            <w:tcW w:w="1814" w:type="dxa"/>
            <w:tcBorders>
              <w:top w:val="single" w:sz="4" w:space="0" w:color="000001"/>
              <w:left w:val="single" w:sz="4" w:space="0" w:color="000001"/>
              <w:bottom w:val="single" w:sz="4" w:space="0" w:color="000001"/>
            </w:tcBorders>
            <w:shd w:val="clear" w:color="auto" w:fill="FFFFFF"/>
            <w:tcMar>
              <w:left w:w="83" w:type="dxa"/>
            </w:tcMar>
          </w:tcPr>
          <w:p w:rsidR="00502743" w:rsidRDefault="009979B5">
            <w:pPr>
              <w:pStyle w:val="DefaultStyle"/>
              <w:contextualSpacing/>
            </w:pPr>
            <w:proofErr w:type="spellStart"/>
            <w:r>
              <w:t>FanPads</w:t>
            </w:r>
            <w:proofErr w:type="spellEnd"/>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502743" w:rsidRDefault="009979B5">
            <w:pPr>
              <w:pStyle w:val="DefaultStyle"/>
              <w:contextualSpacing/>
            </w:pPr>
            <w:r>
              <w:t>1 roll</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502743" w:rsidRDefault="009979B5">
            <w:pPr>
              <w:pStyle w:val="DefaultStyle"/>
              <w:contextualSpacing/>
            </w:pPr>
            <w:r>
              <w:t>Formaldehyde</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02743" w:rsidRDefault="009979B5" w:rsidP="009979B5">
            <w:pPr>
              <w:pStyle w:val="DefaultStyle"/>
              <w:contextualSpacing/>
            </w:pPr>
            <w:r>
              <w:t>825 ml</w:t>
            </w:r>
          </w:p>
        </w:tc>
      </w:tr>
      <w:tr w:rsidR="009979B5">
        <w:tc>
          <w:tcPr>
            <w:tcW w:w="1814"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3M Sorbent Pads</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1 box</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Ethanol, Etc</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9979B5" w:rsidRDefault="009979B5">
            <w:pPr>
              <w:pStyle w:val="DefaultStyle"/>
              <w:contextualSpacing/>
            </w:pPr>
            <w:r>
              <w:t>Varies</w:t>
            </w:r>
          </w:p>
        </w:tc>
      </w:tr>
      <w:tr w:rsidR="009979B5">
        <w:tc>
          <w:tcPr>
            <w:tcW w:w="1814"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Goggles</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1 pair</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All</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9979B5" w:rsidRDefault="009979B5">
            <w:pPr>
              <w:pStyle w:val="DefaultStyle"/>
              <w:contextualSpacing/>
            </w:pPr>
            <w:r>
              <w:t>N/A</w:t>
            </w:r>
          </w:p>
        </w:tc>
      </w:tr>
      <w:tr w:rsidR="009979B5">
        <w:tc>
          <w:tcPr>
            <w:tcW w:w="1814"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Lab Coats</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2</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All</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9979B5" w:rsidRDefault="009979B5">
            <w:pPr>
              <w:pStyle w:val="DefaultStyle"/>
              <w:contextualSpacing/>
            </w:pPr>
            <w:r>
              <w:t>N/A</w:t>
            </w:r>
          </w:p>
        </w:tc>
      </w:tr>
      <w:tr w:rsidR="009979B5">
        <w:tc>
          <w:tcPr>
            <w:tcW w:w="1814"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Plastic Bags</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1 box</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All – for used absorbents</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9979B5" w:rsidRDefault="009979B5">
            <w:pPr>
              <w:pStyle w:val="DefaultStyle"/>
              <w:contextualSpacing/>
            </w:pPr>
            <w:r>
              <w:t>Varies</w:t>
            </w:r>
          </w:p>
        </w:tc>
      </w:tr>
      <w:tr w:rsidR="009979B5">
        <w:tc>
          <w:tcPr>
            <w:tcW w:w="1814"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Cat Litter</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9979B5" w:rsidRDefault="00382DEA">
            <w:pPr>
              <w:pStyle w:val="DefaultStyle"/>
              <w:contextualSpacing/>
            </w:pPr>
            <w:r>
              <w:t>25</w:t>
            </w:r>
            <w:r w:rsidR="009979B5">
              <w:t xml:space="preserve"> lbs</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9979B5" w:rsidRDefault="009979B5">
            <w:pPr>
              <w:pStyle w:val="DefaultStyle"/>
              <w:contextualSpacing/>
            </w:pPr>
            <w:r>
              <w:t>All</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9979B5" w:rsidRDefault="009979B5">
            <w:pPr>
              <w:pStyle w:val="DefaultStyle"/>
              <w:contextualSpacing/>
            </w:pPr>
            <w:r>
              <w:t>Varies</w:t>
            </w:r>
          </w:p>
        </w:tc>
      </w:tr>
      <w:tr w:rsidR="00382DEA">
        <w:tc>
          <w:tcPr>
            <w:tcW w:w="1814"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proofErr w:type="spellStart"/>
            <w:r>
              <w:t>Spilfyter</w:t>
            </w:r>
            <w:proofErr w:type="spellEnd"/>
            <w:r>
              <w:t xml:space="preserve"> </w:t>
            </w:r>
            <w:proofErr w:type="spellStart"/>
            <w:r>
              <w:t>Kolorsafe</w:t>
            </w:r>
            <w:proofErr w:type="spellEnd"/>
            <w:r>
              <w:t xml:space="preserve"> Acid</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10 lbs</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Acids</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82DEA" w:rsidRDefault="00382DEA">
            <w:pPr>
              <w:pStyle w:val="DefaultStyle"/>
              <w:contextualSpacing/>
            </w:pPr>
            <w:r>
              <w:t>4L</w:t>
            </w:r>
          </w:p>
        </w:tc>
      </w:tr>
      <w:tr w:rsidR="00382DEA">
        <w:tc>
          <w:tcPr>
            <w:tcW w:w="1814"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proofErr w:type="spellStart"/>
            <w:r>
              <w:t>Spilfyter</w:t>
            </w:r>
            <w:proofErr w:type="spellEnd"/>
            <w:r>
              <w:t xml:space="preserve"> </w:t>
            </w:r>
            <w:proofErr w:type="spellStart"/>
            <w:r>
              <w:t>Kolorsafe</w:t>
            </w:r>
            <w:proofErr w:type="spellEnd"/>
            <w:r>
              <w:t xml:space="preserve"> Base</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10 lbs</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Bases</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82DEA" w:rsidRDefault="00382DEA">
            <w:pPr>
              <w:pStyle w:val="DefaultStyle"/>
              <w:contextualSpacing/>
            </w:pPr>
            <w:r>
              <w:t>4L</w:t>
            </w:r>
          </w:p>
        </w:tc>
      </w:tr>
      <w:tr w:rsidR="00382DEA">
        <w:tc>
          <w:tcPr>
            <w:tcW w:w="1814"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Gloves, Apron</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1 ea</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All</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82DEA" w:rsidRDefault="00382DEA">
            <w:pPr>
              <w:pStyle w:val="DefaultStyle"/>
              <w:contextualSpacing/>
            </w:pPr>
            <w:r>
              <w:t>N/A</w:t>
            </w:r>
          </w:p>
        </w:tc>
      </w:tr>
      <w:tr w:rsidR="00382DEA">
        <w:tc>
          <w:tcPr>
            <w:tcW w:w="1814"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Dustpan/ Brush</w:t>
            </w:r>
          </w:p>
        </w:tc>
        <w:tc>
          <w:tcPr>
            <w:tcW w:w="1170"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1 ea</w:t>
            </w:r>
          </w:p>
        </w:tc>
        <w:tc>
          <w:tcPr>
            <w:tcW w:w="3236" w:type="dxa"/>
            <w:tcBorders>
              <w:top w:val="single" w:sz="4" w:space="0" w:color="000001"/>
              <w:left w:val="single" w:sz="4" w:space="0" w:color="000001"/>
              <w:bottom w:val="single" w:sz="4" w:space="0" w:color="000001"/>
            </w:tcBorders>
            <w:shd w:val="clear" w:color="auto" w:fill="FFFFFF"/>
            <w:tcMar>
              <w:left w:w="83" w:type="dxa"/>
            </w:tcMar>
          </w:tcPr>
          <w:p w:rsidR="00382DEA" w:rsidRDefault="00382DEA">
            <w:pPr>
              <w:pStyle w:val="DefaultStyle"/>
              <w:contextualSpacing/>
            </w:pPr>
            <w:r>
              <w:t>All</w:t>
            </w:r>
          </w:p>
        </w:tc>
        <w:tc>
          <w:tcPr>
            <w:tcW w:w="26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82DEA" w:rsidRDefault="00382DEA">
            <w:pPr>
              <w:pStyle w:val="DefaultStyle"/>
              <w:contextualSpacing/>
            </w:pPr>
            <w:r>
              <w:t>N/A</w:t>
            </w:r>
          </w:p>
        </w:tc>
      </w:tr>
    </w:tbl>
    <w:p w:rsidR="00502743" w:rsidRDefault="00F9698A">
      <w:pPr>
        <w:pStyle w:val="DefaultStyle"/>
        <w:ind w:left="720"/>
        <w:contextualSpacing/>
      </w:pPr>
      <w:r>
        <w:t>Upon embarkation and prior to loading hazardous materials aboard the vessel, the scientific party will provide to the CO or their designee:</w:t>
      </w:r>
    </w:p>
    <w:p w:rsidR="00502743" w:rsidRDefault="00F9698A">
      <w:pPr>
        <w:pStyle w:val="NormalWeb"/>
        <w:numPr>
          <w:ilvl w:val="0"/>
          <w:numId w:val="3"/>
        </w:numPr>
        <w:spacing w:before="0" w:after="0"/>
        <w:contextualSpacing/>
      </w:pPr>
      <w:r>
        <w:rPr>
          <w:sz w:val="22"/>
          <w:szCs w:val="22"/>
        </w:rPr>
        <w:t>An inventory list showing actual amount of hazardous material brought aboard</w:t>
      </w:r>
    </w:p>
    <w:p w:rsidR="00502743" w:rsidRDefault="00F9698A">
      <w:pPr>
        <w:pStyle w:val="NormalWeb"/>
        <w:numPr>
          <w:ilvl w:val="0"/>
          <w:numId w:val="3"/>
        </w:numPr>
        <w:spacing w:before="0" w:after="0"/>
        <w:contextualSpacing/>
      </w:pPr>
      <w:r>
        <w:rPr>
          <w:sz w:val="22"/>
          <w:szCs w:val="22"/>
        </w:rPr>
        <w:t>An MSDS for each material</w:t>
      </w:r>
    </w:p>
    <w:p w:rsidR="00502743" w:rsidRDefault="00F9698A">
      <w:pPr>
        <w:pStyle w:val="NormalWeb"/>
        <w:numPr>
          <w:ilvl w:val="0"/>
          <w:numId w:val="3"/>
        </w:numPr>
        <w:spacing w:before="0" w:after="0"/>
        <w:contextualSpacing/>
      </w:pPr>
      <w:r>
        <w:rPr>
          <w:sz w:val="22"/>
          <w:szCs w:val="22"/>
        </w:rPr>
        <w:t>Confirmation that neutralizing agents and spill equipment were brought aboard sufficient to contain and cleanup all of the hazardous material brought aboard by the program.</w:t>
      </w:r>
    </w:p>
    <w:p w:rsidR="00502743" w:rsidRDefault="00F9698A">
      <w:pPr>
        <w:pStyle w:val="NormalWeb"/>
        <w:spacing w:before="0" w:after="0"/>
        <w:ind w:left="720"/>
        <w:contextualSpacing/>
      </w:pPr>
      <w:r>
        <w:rPr>
          <w:sz w:val="22"/>
          <w:szCs w:val="22"/>
        </w:rPr>
        <w:t>Upon departure from the ship, scientific parties will provide the CO or their designee an inventory of hazardous material indicating all materials have been used or removed from the vessel. The CO’s designee will maintain a log to track scientific party hazardous materials. MSDS will be made available to the ship’s complement, in compliance with Hazard Communication Laws.</w:t>
      </w:r>
      <w:r>
        <w:t xml:space="preserve"> </w:t>
      </w:r>
    </w:p>
    <w:p w:rsidR="00502743" w:rsidRDefault="00F9698A">
      <w:pPr>
        <w:pStyle w:val="DefaultStyle"/>
        <w:ind w:left="720"/>
        <w:contextualSpacing/>
      </w:pPr>
      <w:r>
        <w:t xml:space="preserve">Scientific parties are expected to manage and respond to spills of scientific hazardous materials. Overboard discharge of scientific chemicals is not permitted during projects aboard NOAA ships. </w:t>
      </w:r>
    </w:p>
    <w:p w:rsidR="00502743" w:rsidRDefault="00F9698A">
      <w:pPr>
        <w:pStyle w:val="DefaultStyle"/>
        <w:contextualSpacing/>
      </w:pPr>
      <w:r>
        <w:tab/>
        <w:t>B.</w:t>
      </w:r>
      <w:r>
        <w:tab/>
        <w:t xml:space="preserve">Radioactive Isotopes </w:t>
      </w:r>
    </w:p>
    <w:p w:rsidR="00502743" w:rsidRDefault="00F9698A">
      <w:pPr>
        <w:pStyle w:val="NormalWeb"/>
        <w:spacing w:before="0" w:after="0"/>
        <w:ind w:left="720"/>
        <w:contextualSpacing/>
      </w:pPr>
      <w:r>
        <w:rPr>
          <w:sz w:val="22"/>
          <w:szCs w:val="22"/>
        </w:rPr>
        <w:t xml:space="preserve">The Chief Scientist is responsible for complying with OMAO 0701-10 Radioactive Material aboard NOAA Ships. Documentation regarding those requirements will be provided by the Chief of Operations, Marine Operations Center, upon request. </w:t>
      </w:r>
    </w:p>
    <w:p w:rsidR="00502743" w:rsidRDefault="00F9698A">
      <w:pPr>
        <w:pStyle w:val="NormalWeb"/>
        <w:spacing w:before="0" w:after="0"/>
        <w:ind w:left="720"/>
        <w:contextualSpacing/>
      </w:pPr>
      <w:r>
        <w:rPr>
          <w:sz w:val="22"/>
          <w:szCs w:val="22"/>
        </w:rPr>
        <w:lastRenderedPageBreak/>
        <w:t>At least three months in advance of a domestic project and eight months in advance of a foreign project start date the shall submit required documentation to MOC-CO, including:</w:t>
      </w:r>
    </w:p>
    <w:p w:rsidR="00502743" w:rsidRDefault="00F9698A">
      <w:pPr>
        <w:pStyle w:val="NormalWeb"/>
        <w:numPr>
          <w:ilvl w:val="0"/>
          <w:numId w:val="2"/>
        </w:numPr>
        <w:spacing w:before="0" w:after="0"/>
        <w:contextualSpacing/>
      </w:pPr>
      <w:r>
        <w:rPr>
          <w:sz w:val="22"/>
          <w:szCs w:val="22"/>
        </w:rPr>
        <w:t>NOAA Form 57-07-02, Request to Use Radioactive Material aboard a NOAA Ship</w:t>
      </w:r>
    </w:p>
    <w:p w:rsidR="00502743" w:rsidRDefault="00F9698A">
      <w:pPr>
        <w:pStyle w:val="NormalWeb"/>
        <w:numPr>
          <w:ilvl w:val="0"/>
          <w:numId w:val="2"/>
        </w:numPr>
        <w:spacing w:before="0" w:after="0"/>
        <w:contextualSpacing/>
      </w:pPr>
      <w:r>
        <w:rPr>
          <w:sz w:val="22"/>
          <w:szCs w:val="22"/>
        </w:rPr>
        <w:t>Draft Project Instructions</w:t>
      </w:r>
    </w:p>
    <w:p w:rsidR="00502743" w:rsidRDefault="00F9698A">
      <w:pPr>
        <w:pStyle w:val="NormalWeb"/>
        <w:numPr>
          <w:ilvl w:val="0"/>
          <w:numId w:val="2"/>
        </w:numPr>
        <w:spacing w:before="0" w:after="0"/>
        <w:contextualSpacing/>
      </w:pPr>
      <w:r>
        <w:rPr>
          <w:sz w:val="22"/>
          <w:szCs w:val="22"/>
        </w:rPr>
        <w:t>Nuclear Regulatory Commission (NRC) Materials License (NRC Form 374) or a state license for each state the ship will operate in with RAM on board the ship.</w:t>
      </w:r>
    </w:p>
    <w:p w:rsidR="00502743" w:rsidRDefault="00F9698A">
      <w:pPr>
        <w:pStyle w:val="NormalWeb"/>
        <w:numPr>
          <w:ilvl w:val="0"/>
          <w:numId w:val="2"/>
        </w:numPr>
        <w:spacing w:before="0" w:after="0"/>
        <w:contextualSpacing/>
      </w:pPr>
      <w:r>
        <w:rPr>
          <w:sz w:val="22"/>
          <w:szCs w:val="22"/>
        </w:rPr>
        <w:t>Report of Proposed Activities in Non-Agreement States, Areas of Exclusive Federal Jurisdiction, or Offshore Waters (NRC Form 241), if only state license(s) are submitted).</w:t>
      </w:r>
    </w:p>
    <w:p w:rsidR="00502743" w:rsidRDefault="00F9698A">
      <w:pPr>
        <w:pStyle w:val="NormalWeb"/>
        <w:numPr>
          <w:ilvl w:val="0"/>
          <w:numId w:val="2"/>
        </w:numPr>
        <w:spacing w:before="0" w:after="0"/>
        <w:contextualSpacing/>
      </w:pPr>
      <w:r>
        <w:rPr>
          <w:sz w:val="22"/>
          <w:szCs w:val="22"/>
        </w:rPr>
        <w:t>MSDS</w:t>
      </w:r>
    </w:p>
    <w:p w:rsidR="00502743" w:rsidRDefault="00F9698A">
      <w:pPr>
        <w:pStyle w:val="NormalWeb"/>
        <w:numPr>
          <w:ilvl w:val="0"/>
          <w:numId w:val="2"/>
        </w:numPr>
        <w:spacing w:before="0" w:after="0"/>
        <w:contextualSpacing/>
      </w:pPr>
      <w:r>
        <w:rPr>
          <w:sz w:val="22"/>
          <w:szCs w:val="22"/>
        </w:rPr>
        <w:t>Experiment or usage protocols, including spill cleanup procedures.</w:t>
      </w:r>
    </w:p>
    <w:p w:rsidR="00502743" w:rsidRDefault="00F9698A">
      <w:pPr>
        <w:pStyle w:val="DefaultStyle"/>
        <w:ind w:left="720"/>
        <w:contextualSpacing/>
      </w:pPr>
      <w:r>
        <w:t xml:space="preserve">Scientific parties will follow responsibilities as outlined in the procedure, including requirements for storage and use, routine wipe tests, signage, and material disposal as outline in OMAO 0701-10.  </w:t>
      </w:r>
    </w:p>
    <w:p w:rsidR="00502743" w:rsidRDefault="00F9698A">
      <w:pPr>
        <w:pStyle w:val="DefaultStyle"/>
        <w:ind w:left="720"/>
        <w:contextualSpacing/>
      </w:pPr>
      <w:r>
        <w:t>All radioisotope work will be conducted by NRC or State licensed investigators only, and copies of these licenses shall be provided per OMAO 0701-10 at least three months prior to the start date of domestic projects and eight months in advance of foreign project start dates.</w:t>
      </w:r>
    </w:p>
    <w:p w:rsidR="00502743" w:rsidRDefault="00F9698A">
      <w:pPr>
        <w:pStyle w:val="DefaultStyle"/>
        <w:contextualSpacing/>
      </w:pPr>
      <w:r>
        <w:tab/>
        <w:t>C.</w:t>
      </w:r>
      <w:r>
        <w:tab/>
        <w:t xml:space="preserve">Inventory (itemized) of Radioactive Materials </w:t>
      </w:r>
    </w:p>
    <w:p w:rsidR="00502743" w:rsidRDefault="00F9698A">
      <w:pPr>
        <w:pStyle w:val="DefaultStyle"/>
        <w:ind w:left="720" w:firstLine="720"/>
        <w:contextualSpacing/>
      </w:pPr>
      <w:r>
        <w:t>n/a</w:t>
      </w:r>
    </w:p>
    <w:p w:rsidR="00502743" w:rsidRDefault="00F9698A">
      <w:pPr>
        <w:pStyle w:val="DefaultStyle"/>
        <w:contextualSpacing/>
      </w:pPr>
      <w:r>
        <w:rPr>
          <w:b/>
        </w:rPr>
        <w:t>V.</w:t>
      </w:r>
      <w:r>
        <w:rPr>
          <w:b/>
        </w:rPr>
        <w:tab/>
        <w:t xml:space="preserve">Additional Projects </w:t>
      </w:r>
    </w:p>
    <w:p w:rsidR="00502743" w:rsidRDefault="00F9698A">
      <w:pPr>
        <w:pStyle w:val="DefaultStyle"/>
        <w:contextualSpacing/>
      </w:pPr>
      <w:r>
        <w:tab/>
        <w:t>A.</w:t>
      </w:r>
      <w:r>
        <w:tab/>
        <w:t>Supplementary (“Piggyback”) Projects</w:t>
      </w:r>
    </w:p>
    <w:p w:rsidR="00502743" w:rsidRDefault="00F9698A">
      <w:pPr>
        <w:pStyle w:val="DefaultStyle"/>
        <w:contextualSpacing/>
      </w:pPr>
      <w:r>
        <w:tab/>
        <w:t>B.</w:t>
      </w:r>
      <w:r>
        <w:tab/>
        <w:t>NOAA Fleet Ancillary Projects</w:t>
      </w:r>
    </w:p>
    <w:p w:rsidR="00502743" w:rsidRDefault="00F9698A">
      <w:pPr>
        <w:pStyle w:val="DefaultStyle"/>
        <w:contextualSpacing/>
      </w:pPr>
      <w:r>
        <w:rPr>
          <w:b/>
        </w:rPr>
        <w:t>VI.</w:t>
      </w:r>
      <w:r>
        <w:rPr>
          <w:b/>
        </w:rPr>
        <w:tab/>
        <w:t xml:space="preserve">Disposition of Data and Reports </w:t>
      </w:r>
    </w:p>
    <w:p w:rsidR="00502743" w:rsidRDefault="00F9698A">
      <w:pPr>
        <w:pStyle w:val="DefaultStyle"/>
        <w:contextualSpacing/>
      </w:pPr>
      <w:r>
        <w:tab/>
        <w:t xml:space="preserve">A. </w:t>
      </w:r>
      <w:r>
        <w:tab/>
        <w:t xml:space="preserve">Data Responsibilities </w:t>
      </w:r>
    </w:p>
    <w:p w:rsidR="00502743" w:rsidRDefault="00F9698A">
      <w:pPr>
        <w:pStyle w:val="DefaultStyle"/>
        <w:contextualSpacing/>
      </w:pPr>
      <w:r>
        <w:tab/>
        <w:t>B.</w:t>
      </w:r>
      <w:r>
        <w:tab/>
        <w:t xml:space="preserve">Pre and Post Project Meeting </w:t>
      </w:r>
    </w:p>
    <w:p w:rsidR="00502743" w:rsidRDefault="00F9698A">
      <w:pPr>
        <w:pStyle w:val="DefaultStyle"/>
        <w:ind w:left="720"/>
        <w:contextualSpacing/>
      </w:pPr>
      <w:r>
        <w:t>Prior to departure, the Chief Scientist will conduct a meeting of the scientific party to train them in sample collection and inform them of project objectives. Some vessel protocols, e.g., meals, watches</w:t>
      </w:r>
      <w:proofErr w:type="gramStart"/>
      <w:r>
        <w:t>,</w:t>
      </w:r>
      <w:proofErr w:type="gramEnd"/>
      <w:r>
        <w:t xml:space="preserve"> etiquette, etc. will be presented by the ship’s Operations Officer.</w:t>
      </w:r>
    </w:p>
    <w:p w:rsidR="00502743" w:rsidRDefault="00F9698A">
      <w:pPr>
        <w:pStyle w:val="DefaultStyle"/>
        <w:ind w:left="720"/>
        <w:contextualSpacing/>
      </w:pPr>
      <w:r>
        <w:t>Post-Project Meeting: Upon completion of the project, a meeting will normally be held at 0830 (unless prior alternate arrangements are made) and attended by the ship’s officers, the Chief Scientist and members of the scientific party to review the project.  Concerns regarding safety, efficiency, and suggestions for improvements for future projects should be discussed.  Minutes of the post-project meeting will be distributed to all participants by email, and to the Commanding Officer and Chief of Operations, Marine Operations Center.</w:t>
      </w:r>
    </w:p>
    <w:p w:rsidR="00502743" w:rsidRDefault="00F9698A">
      <w:pPr>
        <w:pStyle w:val="DefaultStyle"/>
        <w:contextualSpacing/>
      </w:pPr>
      <w:r>
        <w:tab/>
        <w:t>C.</w:t>
      </w:r>
      <w:r>
        <w:tab/>
        <w:t xml:space="preserve">Ship Operation Evaluation Report </w:t>
      </w:r>
    </w:p>
    <w:p w:rsidR="00502743" w:rsidRDefault="00F9698A">
      <w:pPr>
        <w:pStyle w:val="DefaultStyle"/>
        <w:ind w:left="720"/>
        <w:contextualSpacing/>
      </w:pPr>
      <w:r>
        <w:t xml:space="preserve">Within seven days of the completion of the project, a Ship Operation Evaluation form is to be completed by the Chief Scientist. The preferred method of transmittal of this form is via email to </w:t>
      </w:r>
      <w:hyperlink r:id="rId9">
        <w:r>
          <w:rPr>
            <w:rStyle w:val="InternetLink"/>
          </w:rPr>
          <w:t>omao.customer.satisfaction@noaa.gov</w:t>
        </w:r>
      </w:hyperlink>
      <w:r>
        <w:t>.  If email is not an option, a hard copy may be forwarded to:</w:t>
      </w:r>
    </w:p>
    <w:p w:rsidR="00502743" w:rsidRDefault="00F9698A">
      <w:pPr>
        <w:pStyle w:val="DefaultStyle"/>
        <w:tabs>
          <w:tab w:val="left" w:pos="0"/>
        </w:tabs>
        <w:contextualSpacing/>
      </w:pPr>
      <w:r>
        <w:rPr>
          <w:rFonts w:eastAsia="Times New Roman"/>
        </w:rPr>
        <w:tab/>
        <w:t>Director, NOAA Marine and Aviation Operations</w:t>
      </w:r>
    </w:p>
    <w:p w:rsidR="00502743" w:rsidRDefault="00F9698A">
      <w:pPr>
        <w:pStyle w:val="DefaultStyle"/>
        <w:tabs>
          <w:tab w:val="left" w:pos="0"/>
        </w:tabs>
        <w:contextualSpacing/>
      </w:pPr>
      <w:r>
        <w:rPr>
          <w:rFonts w:eastAsia="Times New Roman"/>
        </w:rPr>
        <w:tab/>
        <w:t>NOAA Office of Marine and Aviation Operations</w:t>
      </w:r>
    </w:p>
    <w:p w:rsidR="00502743" w:rsidRDefault="00F9698A">
      <w:pPr>
        <w:pStyle w:val="DefaultStyle"/>
        <w:tabs>
          <w:tab w:val="left" w:pos="0"/>
        </w:tabs>
        <w:contextualSpacing/>
      </w:pPr>
      <w:r>
        <w:rPr>
          <w:rFonts w:eastAsia="Times New Roman"/>
        </w:rPr>
        <w:tab/>
        <w:t xml:space="preserve">8403 </w:t>
      </w:r>
      <w:proofErr w:type="spellStart"/>
      <w:r>
        <w:rPr>
          <w:rFonts w:eastAsia="Times New Roman"/>
        </w:rPr>
        <w:t>Colesville</w:t>
      </w:r>
      <w:proofErr w:type="spellEnd"/>
      <w:r>
        <w:rPr>
          <w:rFonts w:eastAsia="Times New Roman"/>
        </w:rPr>
        <w:t xml:space="preserve"> Road, Suite 500</w:t>
      </w:r>
    </w:p>
    <w:p w:rsidR="00502743" w:rsidRDefault="00F9698A">
      <w:pPr>
        <w:pStyle w:val="DefaultStyle"/>
        <w:contextualSpacing/>
      </w:pPr>
      <w:r>
        <w:rPr>
          <w:rFonts w:eastAsia="Times New Roman"/>
        </w:rPr>
        <w:tab/>
        <w:t>Silver Spring, MD  20910</w:t>
      </w:r>
    </w:p>
    <w:p w:rsidR="00502743" w:rsidRDefault="00F9698A">
      <w:pPr>
        <w:pStyle w:val="DefaultStyle"/>
        <w:contextualSpacing/>
      </w:pPr>
      <w:r>
        <w:rPr>
          <w:b/>
        </w:rPr>
        <w:t>VII.</w:t>
      </w:r>
      <w:r>
        <w:rPr>
          <w:b/>
        </w:rPr>
        <w:tab/>
        <w:t xml:space="preserve">Miscellaneous </w:t>
      </w:r>
    </w:p>
    <w:p w:rsidR="00502743" w:rsidRDefault="00F9698A">
      <w:pPr>
        <w:pStyle w:val="DefaultStyle"/>
        <w:contextualSpacing/>
      </w:pPr>
      <w:r>
        <w:tab/>
        <w:t>A.</w:t>
      </w:r>
      <w:r>
        <w:tab/>
        <w:t xml:space="preserve">Meals and Berthing </w:t>
      </w:r>
    </w:p>
    <w:p w:rsidR="00502743" w:rsidRDefault="00F9698A">
      <w:pPr>
        <w:pStyle w:val="DefaultStyle"/>
        <w:ind w:left="720"/>
        <w:contextualSpacing/>
      </w:pPr>
      <w:r>
        <w:lastRenderedPageBreak/>
        <w:t>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survey.</w:t>
      </w:r>
    </w:p>
    <w:p w:rsidR="00502743" w:rsidRDefault="00F9698A">
      <w:pPr>
        <w:pStyle w:val="DefaultStyle"/>
        <w:ind w:left="720"/>
        <w:contextualSpacing/>
      </w:pPr>
      <w:r>
        <w:t>Berthing requirements, including number and gender of the scientific party, will be provided to the ship by the Chief Scientist. The Chief Scientist and Commanding Officer will work together on a detailed berthing plan to accommodate the gender mix of the scientific party taking into consideration the current make-up of the ship’s complement. The Chief Scientist is responsible for ensuring the scientific berthing spaces are left in the condition in which they were received; for stripping bedding and linen return; and for the return of any room keys which were issued. The Chief Scientist is also responsible for the cleanliness of the laboratory spaces and the storage areas utilized by the scientific party, both during the project and at its conclusion prior to departing the ship.</w:t>
      </w:r>
    </w:p>
    <w:p w:rsidR="00502743" w:rsidRDefault="00F9698A">
      <w:pPr>
        <w:pStyle w:val="DefaultStyle"/>
        <w:ind w:left="720"/>
        <w:contextualSpacing/>
      </w:pPr>
      <w:r>
        <w:t xml:space="preserve">All NOAA scientists will have proper travel orders when assigned to any NOAA ship. The Chief Scientist will ensure that all non NOAA or non Federal scientists aboard also have proper orders. It is the responsibility of the Chief Scientist to ensure that the entire scientific party has a mechanism in place to provide lodging and food and to be reimbursed for these costs in the event that the ship becomes uninhabitable and/or the galley is closed during any part of the scheduled project. </w:t>
      </w:r>
    </w:p>
    <w:p w:rsidR="00502743" w:rsidRDefault="00F9698A">
      <w:pPr>
        <w:pStyle w:val="DefaultStyle"/>
        <w:ind w:left="720"/>
        <w:contextualSpacing/>
      </w:pPr>
      <w:r>
        <w:t>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7, 1999 which forbids the possession and/or use of illegal drugs and alcohol aboard NOAA Vessels.</w:t>
      </w:r>
    </w:p>
    <w:p w:rsidR="00502743" w:rsidRDefault="00F9698A">
      <w:pPr>
        <w:pStyle w:val="DefaultStyle"/>
        <w:contextualSpacing/>
      </w:pPr>
      <w:r>
        <w:tab/>
        <w:t>B.</w:t>
      </w:r>
      <w:r>
        <w:tab/>
        <w:t>Medical Forms and Emergency Contacts</w:t>
      </w:r>
    </w:p>
    <w:p w:rsidR="00502743" w:rsidRDefault="00F9698A">
      <w:pPr>
        <w:pStyle w:val="DefaultStyle"/>
        <w:ind w:left="720"/>
        <w:contextualSpacing/>
      </w:pPr>
      <w:r>
        <w:t xml:space="preserve">The NOAA Health Services Questionnaire (NHSQ, Revised: 02 JAN 2012) must be completed in advance by each participating scientist. The NHSQ can be obtained from the Chief Scientist or the NOAA website </w:t>
      </w:r>
      <w:hyperlink r:id="rId10">
        <w:r>
          <w:rPr>
            <w:rStyle w:val="InternetLink"/>
          </w:rPr>
          <w:t>http://www.corporateservices.noaa.gov/~noaaforms/eforms/nf57-10-01.pdf</w:t>
        </w:r>
      </w:hyperlink>
      <w:r>
        <w:t xml:space="preserve">. The completed form should be sent to the Regional Director of Health Services at Marine Operations Center. The participant can mail, fax, or scan the form into an email using the contact information below. The NHSQ should reach the Health Services Office no later than 4 weeks prior to the project to allow time for the participant to obtain and submit additional information that health services might require before clearance to sail can be granted. Please contact MOC Health Services with any questions regarding eligibility or completion of the NHSQ. Be sure to include proof of tuberculosis (TB) testing, sign and date the form, and indicate the ship or ships the participant will be sailing on. The participant will receive an email notice when medically cleared to sail if a legible email address is provided on the NHSQ. </w:t>
      </w:r>
    </w:p>
    <w:p w:rsidR="00502743" w:rsidRDefault="00F9698A">
      <w:pPr>
        <w:pStyle w:val="DefaultStyle"/>
        <w:ind w:left="720"/>
        <w:contextualSpacing/>
      </w:pPr>
      <w:r>
        <w:t xml:space="preserve">Contact information: </w:t>
      </w:r>
    </w:p>
    <w:tbl>
      <w:tblPr>
        <w:tblW w:w="0" w:type="auto"/>
        <w:tblInd w:w="720" w:type="dxa"/>
        <w:tblLook w:val="0000"/>
      </w:tblPr>
      <w:tblGrid>
        <w:gridCol w:w="4330"/>
      </w:tblGrid>
      <w:tr w:rsidR="00502743">
        <w:tc>
          <w:tcPr>
            <w:tcW w:w="4330" w:type="dxa"/>
            <w:shd w:val="clear" w:color="auto" w:fill="FFFFFF"/>
          </w:tcPr>
          <w:p w:rsidR="00502743" w:rsidRDefault="00F9698A">
            <w:pPr>
              <w:pStyle w:val="DefaultStyle"/>
              <w:contextualSpacing/>
            </w:pPr>
            <w:r>
              <w:t>Regional Director of Health Services</w:t>
            </w:r>
          </w:p>
          <w:p w:rsidR="00502743" w:rsidRDefault="00F9698A">
            <w:pPr>
              <w:pStyle w:val="DefaultStyle"/>
              <w:contextualSpacing/>
            </w:pPr>
            <w:r>
              <w:t>Marine Operations Center – Pacific</w:t>
            </w:r>
          </w:p>
          <w:p w:rsidR="00502743" w:rsidRDefault="00F9698A">
            <w:pPr>
              <w:pStyle w:val="DefaultStyle"/>
              <w:contextualSpacing/>
            </w:pPr>
            <w:r>
              <w:lastRenderedPageBreak/>
              <w:t>2002 SE Marine Science Dr.</w:t>
            </w:r>
          </w:p>
          <w:p w:rsidR="00502743" w:rsidRDefault="00F9698A">
            <w:pPr>
              <w:pStyle w:val="DefaultStyle"/>
              <w:contextualSpacing/>
            </w:pPr>
            <w:r>
              <w:t>Newport, OR 97365</w:t>
            </w:r>
          </w:p>
          <w:p w:rsidR="00502743" w:rsidRDefault="00F9698A">
            <w:pPr>
              <w:pStyle w:val="DefaultStyle"/>
              <w:contextualSpacing/>
            </w:pPr>
            <w:r>
              <w:t>Telephone 541-867-8822</w:t>
            </w:r>
          </w:p>
          <w:p w:rsidR="00502743" w:rsidRDefault="00F9698A">
            <w:pPr>
              <w:pStyle w:val="DefaultStyle"/>
              <w:contextualSpacing/>
            </w:pPr>
            <w:r>
              <w:t>Fax 541-867-8856</w:t>
            </w:r>
          </w:p>
          <w:p w:rsidR="00502743" w:rsidRDefault="00F9698A">
            <w:pPr>
              <w:pStyle w:val="DefaultStyle"/>
              <w:contextualSpacing/>
            </w:pPr>
            <w:r>
              <w:t xml:space="preserve">Email </w:t>
            </w:r>
            <w:hyperlink r:id="rId11">
              <w:r>
                <w:rPr>
                  <w:rStyle w:val="InternetLink"/>
                </w:rPr>
                <w:t>MOP.Health-Services@noaa.gov</w:t>
              </w:r>
            </w:hyperlink>
          </w:p>
        </w:tc>
      </w:tr>
    </w:tbl>
    <w:p w:rsidR="00502743" w:rsidRDefault="00502743">
      <w:pPr>
        <w:pStyle w:val="DefaultStyle"/>
        <w:ind w:left="720"/>
        <w:contextualSpacing/>
      </w:pPr>
    </w:p>
    <w:p w:rsidR="00502743" w:rsidRDefault="00F9698A">
      <w:pPr>
        <w:pStyle w:val="DefaultStyle"/>
        <w:ind w:left="720"/>
        <w:contextualSpacing/>
      </w:pPr>
      <w:r>
        <w:t>Prior to departure, the Chief Scientist must provide an electronic listing of emergency contacts to the Executive Officer for all members of the scientific party, with the following information: contact name, address, relationship to member, and telephone number.</w:t>
      </w:r>
    </w:p>
    <w:p w:rsidR="00502743" w:rsidRDefault="00F9698A">
      <w:pPr>
        <w:pStyle w:val="DefaultStyle"/>
        <w:contextualSpacing/>
      </w:pPr>
      <w:r>
        <w:tab/>
        <w:t>C.</w:t>
      </w:r>
      <w:r>
        <w:tab/>
        <w:t xml:space="preserve">Shipboard Safety </w:t>
      </w:r>
    </w:p>
    <w:p w:rsidR="00502743" w:rsidRDefault="00F9698A">
      <w:pPr>
        <w:pStyle w:val="DefaultStyle"/>
        <w:ind w:left="720"/>
        <w:contextualSpacing/>
      </w:pPr>
      <w:r>
        <w:t>Wearing open-toed footwear or shoes that do not completely enclose the foot (such as sandals or clogs) outside of private berthing areas is not permitted. Steel-toed shoes are required to participate in any work dealing with suspended loads, including CTD deployments and recovery. The ship does not provide steel-toed boots. Hard hats are also required when working with suspended loads. Work vests are required when working near open railings and during small boat launch and recovery operations. Hard hats and work vests will be provided by the ship when required.</w:t>
      </w:r>
    </w:p>
    <w:p w:rsidR="00502743" w:rsidRDefault="00F9698A">
      <w:pPr>
        <w:pStyle w:val="DefaultStyle"/>
        <w:contextualSpacing/>
      </w:pPr>
      <w:r>
        <w:tab/>
        <w:t>D.</w:t>
      </w:r>
      <w:r>
        <w:tab/>
        <w:t>Communications</w:t>
      </w:r>
    </w:p>
    <w:p w:rsidR="00502743" w:rsidRDefault="00F9698A">
      <w:pPr>
        <w:pStyle w:val="DefaultStyle"/>
        <w:ind w:left="720"/>
        <w:contextualSpacing/>
      </w:pPr>
      <w:r>
        <w:t>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The ship’s primary means of communication with the Marine Operations Center is via e-mail and the Very Small Aperture Terminal (VSAT) link. Standard VSAT bandwidth at 128kbs is shared by all vessels staff and the science team at no charge. Increased bandwidth in 30 day increments is available on the VSAT systems at increased cost to the scientific party. If increased bandwidth is being considered, program accounting is required it must be arranged at least 30 days in advance.</w:t>
      </w:r>
    </w:p>
    <w:p w:rsidR="00502743" w:rsidRDefault="00F9698A">
      <w:pPr>
        <w:pStyle w:val="DefaultStyle"/>
        <w:contextualSpacing/>
      </w:pPr>
      <w:r>
        <w:tab/>
      </w:r>
      <w:proofErr w:type="gramStart"/>
      <w:r>
        <w:t>E.</w:t>
      </w:r>
      <w:r>
        <w:tab/>
        <w:t>IT</w:t>
      </w:r>
      <w:proofErr w:type="gramEnd"/>
      <w:r>
        <w:t xml:space="preserve"> Security </w:t>
      </w:r>
    </w:p>
    <w:p w:rsidR="00502743" w:rsidRDefault="00F9698A">
      <w:pPr>
        <w:pStyle w:val="DefaultStyle"/>
        <w:tabs>
          <w:tab w:val="left" w:pos="2880"/>
          <w:tab w:val="left" w:pos="3774"/>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contextualSpacing/>
      </w:pPr>
      <w:r>
        <w:t xml:space="preserve">Any computer that will be hooked into the ship's network must comply with the </w:t>
      </w:r>
      <w:r>
        <w:rPr>
          <w:i/>
        </w:rPr>
        <w:t>NMAO Fleet IT Security Policy</w:t>
      </w:r>
      <w:r>
        <w:t xml:space="preserve"> 1.1 (November 4, 2005) prior to establishing a direct connection to the NOAA WAN. Requirements include, but are not limited to: </w:t>
      </w:r>
    </w:p>
    <w:p w:rsidR="00502743" w:rsidRDefault="00F9698A">
      <w:pPr>
        <w:pStyle w:val="DefaultStyle"/>
        <w:tabs>
          <w:tab w:val="left" w:pos="3750"/>
          <w:tab w:val="left" w:pos="4644"/>
          <w:tab w:val="left" w:pos="5082"/>
          <w:tab w:val="left" w:pos="5190"/>
          <w:tab w:val="left" w:pos="5910"/>
          <w:tab w:val="left" w:pos="6630"/>
          <w:tab w:val="left" w:pos="7350"/>
          <w:tab w:val="left" w:pos="8070"/>
          <w:tab w:val="left" w:pos="8790"/>
          <w:tab w:val="left" w:pos="9510"/>
          <w:tab w:val="left" w:pos="10230"/>
          <w:tab w:val="left" w:pos="10950"/>
          <w:tab w:val="left" w:pos="11670"/>
          <w:tab w:val="left" w:pos="12390"/>
          <w:tab w:val="left" w:pos="13110"/>
          <w:tab w:val="left" w:pos="13830"/>
        </w:tabs>
        <w:ind w:left="894"/>
        <w:contextualSpacing/>
      </w:pPr>
      <w:r>
        <w:t xml:space="preserve">(1) Installation of the latest virus definition (.DAT) file on all systems and performance of a virus scan on each system. </w:t>
      </w:r>
      <w:r>
        <w:br/>
        <w:t xml:space="preserve">(2) Installation of the latest critical operating system security patches. </w:t>
      </w:r>
      <w:r>
        <w:br/>
        <w:t xml:space="preserve">(3) No external public Internet Service Provider (ISP) connections. </w:t>
      </w:r>
    </w:p>
    <w:p w:rsidR="00502743" w:rsidRDefault="00F9698A">
      <w:pPr>
        <w:pStyle w:val="DefaultStyle"/>
        <w:ind w:left="720"/>
        <w:contextualSpacing/>
      </w:pPr>
      <w:r>
        <w:t>Completion of these requirements prior to boarding the ship is required.</w:t>
      </w:r>
    </w:p>
    <w:p w:rsidR="00502743" w:rsidRDefault="00F9698A">
      <w:pPr>
        <w:pStyle w:val="DefaultStyle"/>
        <w:ind w:left="720"/>
        <w:contextualSpacing/>
      </w:pPr>
      <w:r>
        <w:t xml:space="preserve">Non-NOAA personnel using the ship's computers or connecting their own computers to the </w:t>
      </w:r>
      <w:proofErr w:type="gramStart"/>
      <w:r>
        <w:t>ship's</w:t>
      </w:r>
      <w:proofErr w:type="gramEnd"/>
      <w:r>
        <w:t xml:space="preserve"> network must complete NOAA’s IT Security Awareness Course within 3 days of embarking.</w:t>
      </w:r>
    </w:p>
    <w:p w:rsidR="00502743" w:rsidRDefault="00F9698A">
      <w:pPr>
        <w:pStyle w:val="DefaultStyle"/>
        <w:contextualSpacing/>
      </w:pPr>
      <w:r>
        <w:tab/>
        <w:t>F.</w:t>
      </w:r>
      <w:r>
        <w:tab/>
        <w:t xml:space="preserve">Foreign National Guests Access to OMAO Facilities and Platforms </w:t>
      </w:r>
    </w:p>
    <w:p w:rsidR="00502743" w:rsidRDefault="00F9698A">
      <w:pPr>
        <w:pStyle w:val="DefaultStyle"/>
        <w:ind w:left="720"/>
        <w:contextualSpacing/>
      </w:pPr>
      <w:r>
        <w:t>All foreign national access to the vessel shall be in accordance with NAO 207-12 and RADM De Bow’s March 16, 2006 memo (</w:t>
      </w:r>
      <w:hyperlink r:id="rId12">
        <w:r>
          <w:rPr>
            <w:rStyle w:val="InternetLink"/>
          </w:rPr>
          <w:t>http://deemedexports.noaa.gov</w:t>
        </w:r>
      </w:hyperlink>
      <w:r>
        <w:t xml:space="preserve">).  National Marine Fisheries Service personnel will use the Foreign National Registration System </w:t>
      </w:r>
      <w:r>
        <w:lastRenderedPageBreak/>
        <w:t>(FRNS) to submit requests for access to NOAA facilities and ships.  The Departmental Sponsor/NOAA (DSN) is responsible for obtaining clearances and export licenses and for providing escorts required by the NAO.  DSNs should consult with their designated NMFS Deemed Exports point of contact to assist with the process.</w:t>
      </w:r>
    </w:p>
    <w:p w:rsidR="00502743" w:rsidRDefault="00F9698A">
      <w:pPr>
        <w:pStyle w:val="DefaultStyle"/>
        <w:ind w:left="720"/>
        <w:contextualSpacing/>
      </w:pPr>
      <w:r>
        <w:rPr>
          <w:color w:val="0000FF"/>
        </w:rPr>
        <w:t xml:space="preserve">Foreign National access must be sought not only for access to the ship involved in the project, it must also be sought and approved for the dates of any DOC facilities (marine centers or port offices) that foreign nationals might have to traverse to access to and from the ship.  </w:t>
      </w:r>
    </w:p>
    <w:p w:rsidR="00502743" w:rsidRDefault="00F9698A">
      <w:pPr>
        <w:pStyle w:val="DefaultStyle"/>
        <w:ind w:left="720"/>
        <w:contextualSpacing/>
      </w:pPr>
      <w:r>
        <w:t>The following are basic requirements.  Full compliance with NAO 207-12 is required.</w:t>
      </w:r>
    </w:p>
    <w:p w:rsidR="00502743" w:rsidRDefault="00F9698A">
      <w:pPr>
        <w:pStyle w:val="DefaultStyle"/>
        <w:ind w:left="720"/>
        <w:contextualSpacing/>
      </w:pPr>
      <w:r>
        <w:rPr>
          <w:bCs/>
        </w:rPr>
        <w:t xml:space="preserve">Responsibilities of the Chief Scientist:  </w:t>
      </w:r>
    </w:p>
    <w:p w:rsidR="00502743" w:rsidRDefault="00F9698A">
      <w:pPr>
        <w:pStyle w:val="DefaultStyle"/>
        <w:numPr>
          <w:ilvl w:val="0"/>
          <w:numId w:val="7"/>
        </w:numPr>
        <w:tabs>
          <w:tab w:val="left" w:pos="3600"/>
        </w:tabs>
        <w:contextualSpacing/>
      </w:pPr>
      <w:r>
        <w:t>Provide the Commanding Officer with the e-mail generated by the FRNS granting approval for the foreign national guest’s visit. This e-mail will identify the guest’s DSN and will serve as evidence that the requirements of NAO 207-12 have been complied with.</w:t>
      </w:r>
    </w:p>
    <w:p w:rsidR="00502743" w:rsidRDefault="00F9698A">
      <w:pPr>
        <w:pStyle w:val="DefaultStyle"/>
        <w:numPr>
          <w:ilvl w:val="0"/>
          <w:numId w:val="7"/>
        </w:numPr>
        <w:tabs>
          <w:tab w:val="left" w:pos="3600"/>
        </w:tabs>
        <w:contextualSpacing/>
      </w:pPr>
      <w:r>
        <w:t>Escorts – The Chief Scientist is responsible to provide escorts to comply with NAO 207-12 Section 5.10, or as required by the vessel’s DOC/OSY Regional Security Officer.</w:t>
      </w:r>
    </w:p>
    <w:p w:rsidR="00502743" w:rsidRDefault="00F9698A">
      <w:pPr>
        <w:pStyle w:val="DefaultStyle"/>
        <w:numPr>
          <w:ilvl w:val="0"/>
          <w:numId w:val="7"/>
        </w:numPr>
        <w:tabs>
          <w:tab w:val="left" w:pos="3600"/>
        </w:tabs>
        <w:contextualSpacing/>
      </w:pPr>
      <w:r>
        <w:t>Ensure all non-foreign national members of the scientific party receive the briefing on Espionage Indicators (NAO 207-12 Appendix A) at least annually or as required by the servicing Regional Security Officer.</w:t>
      </w:r>
    </w:p>
    <w:p w:rsidR="00502743" w:rsidRDefault="00F9698A">
      <w:pPr>
        <w:pStyle w:val="DefaultStyle"/>
        <w:numPr>
          <w:ilvl w:val="0"/>
          <w:numId w:val="7"/>
        </w:numPr>
        <w:tabs>
          <w:tab w:val="left" w:pos="3600"/>
        </w:tabs>
        <w:contextualSpacing/>
      </w:pPr>
      <w:r>
        <w:t>Export Control - Ensure that approved controls are in place for any technologies that are subject to Export Administration Regulations (EAR)</w:t>
      </w:r>
      <w:r>
        <w:rPr>
          <w:i/>
        </w:rPr>
        <w:t>.</w:t>
      </w:r>
    </w:p>
    <w:p w:rsidR="00502743" w:rsidRDefault="00502743">
      <w:pPr>
        <w:pStyle w:val="DefaultStyle"/>
        <w:ind w:left="720"/>
        <w:contextualSpacing/>
      </w:pPr>
    </w:p>
    <w:p w:rsidR="00502743" w:rsidRDefault="00F9698A">
      <w:pPr>
        <w:pStyle w:val="DefaultStyle"/>
        <w:ind w:left="720"/>
        <w:contextualSpacing/>
      </w:pPr>
      <w:r>
        <w:t xml:space="preserve">The Commanding Officer and the Chief Scientist will work together to implement any access controls necessary to ensure no unlicensed export occurs of any controlled technology onboard regardless of ownership.  </w:t>
      </w:r>
    </w:p>
    <w:p w:rsidR="00502743" w:rsidRDefault="00502743">
      <w:pPr>
        <w:pStyle w:val="DefaultStyle"/>
        <w:ind w:left="720"/>
        <w:contextualSpacing/>
      </w:pPr>
    </w:p>
    <w:p w:rsidR="00502743" w:rsidRDefault="00F9698A">
      <w:pPr>
        <w:pStyle w:val="DefaultStyle"/>
        <w:ind w:left="720"/>
        <w:contextualSpacing/>
      </w:pPr>
      <w:r>
        <w:rPr>
          <w:bCs/>
        </w:rPr>
        <w:t xml:space="preserve">Responsibilities of the Commanding Officer:  </w:t>
      </w:r>
    </w:p>
    <w:p w:rsidR="00502743" w:rsidRDefault="00502743">
      <w:pPr>
        <w:pStyle w:val="DefaultStyle"/>
        <w:ind w:left="720"/>
        <w:contextualSpacing/>
      </w:pPr>
    </w:p>
    <w:p w:rsidR="00502743" w:rsidRDefault="00F9698A">
      <w:pPr>
        <w:pStyle w:val="DefaultStyle"/>
        <w:numPr>
          <w:ilvl w:val="0"/>
          <w:numId w:val="4"/>
        </w:numPr>
        <w:tabs>
          <w:tab w:val="left" w:pos="3600"/>
        </w:tabs>
        <w:contextualSpacing/>
      </w:pPr>
      <w:r>
        <w:t>Ensure only those foreign nationals with DOC/OSY clearance are granted access.</w:t>
      </w:r>
    </w:p>
    <w:p w:rsidR="00502743" w:rsidRDefault="00F9698A">
      <w:pPr>
        <w:pStyle w:val="DefaultStyle"/>
        <w:numPr>
          <w:ilvl w:val="0"/>
          <w:numId w:val="4"/>
        </w:numPr>
        <w:tabs>
          <w:tab w:val="left" w:pos="3600"/>
        </w:tabs>
        <w:contextualSpacing/>
      </w:pPr>
      <w:r>
        <w:t>Deny access to OMAO platforms and facilities by foreign nationals from countries controlled for anti-terrorism (AT) reasons and individuals from Cuba or Iran without written NMAO approval and compliance with export and sanction regulations.</w:t>
      </w:r>
    </w:p>
    <w:p w:rsidR="00502743" w:rsidRDefault="00F9698A">
      <w:pPr>
        <w:pStyle w:val="DefaultStyle"/>
        <w:numPr>
          <w:ilvl w:val="0"/>
          <w:numId w:val="4"/>
        </w:numPr>
        <w:tabs>
          <w:tab w:val="left" w:pos="3600"/>
        </w:tabs>
        <w:contextualSpacing/>
      </w:pPr>
      <w:r>
        <w:t>Ensure foreign national access is permitted only if unlicensed deemed export is not likely to occur.</w:t>
      </w:r>
    </w:p>
    <w:p w:rsidR="00502743" w:rsidRDefault="00F9698A">
      <w:pPr>
        <w:pStyle w:val="DefaultStyle"/>
        <w:numPr>
          <w:ilvl w:val="0"/>
          <w:numId w:val="4"/>
        </w:numPr>
        <w:tabs>
          <w:tab w:val="left" w:pos="3600"/>
        </w:tabs>
        <w:contextualSpacing/>
      </w:pPr>
      <w:r>
        <w:t xml:space="preserve">Ensure receipt from the Chief Scientist or the DSN of the FRNS e-mail granting approval for the foreign national guest’s visit. </w:t>
      </w:r>
    </w:p>
    <w:p w:rsidR="00502743" w:rsidRDefault="00F9698A">
      <w:pPr>
        <w:pStyle w:val="DefaultStyle"/>
        <w:numPr>
          <w:ilvl w:val="0"/>
          <w:numId w:val="4"/>
        </w:numPr>
        <w:tabs>
          <w:tab w:val="left" w:pos="3600"/>
        </w:tabs>
        <w:contextualSpacing/>
      </w:pPr>
      <w:r>
        <w:t>Ensure Foreign Port Officials, e.g., Pilots, immigration officials, receive escorted access in accordance with maritime custom to facilitate the vessel’s visit to foreign ports.</w:t>
      </w:r>
    </w:p>
    <w:p w:rsidR="00502743" w:rsidRDefault="00F9698A">
      <w:pPr>
        <w:pStyle w:val="DefaultStyle"/>
        <w:numPr>
          <w:ilvl w:val="0"/>
          <w:numId w:val="4"/>
        </w:numPr>
        <w:tabs>
          <w:tab w:val="left" w:pos="3600"/>
        </w:tabs>
        <w:contextualSpacing/>
      </w:pPr>
      <w:r>
        <w:t>Export Control - 8 weeks in advance of the project, provide the Chief Scientist with a current inventory of OMAO controlled technology onboard the vessel and a copy of the vessel Technology Access Control Plan (TACP).  Also notify the Chief Scientist of any OMAO-sponsored foreign nationals that will be onboard while program equipment is aboard so that the Chief Scientist can take steps to prevent unlicensed export of Program controlled technology.  The Commanding Officer and the Chief Scientist will work together to implement any access controls necessary to ensure no unlicensed export occurs of any controlled technology onboard regardless of ownership.</w:t>
      </w:r>
    </w:p>
    <w:p w:rsidR="00502743" w:rsidRDefault="00F9698A">
      <w:pPr>
        <w:pStyle w:val="DefaultStyle"/>
        <w:numPr>
          <w:ilvl w:val="0"/>
          <w:numId w:val="4"/>
        </w:numPr>
        <w:tabs>
          <w:tab w:val="left" w:pos="3600"/>
        </w:tabs>
        <w:contextualSpacing/>
      </w:pPr>
      <w:r>
        <w:lastRenderedPageBreak/>
        <w:t>Ensure all OMAO personnel onboard receive the briefing on Espionage Indicators (NAO 207-12 Appendix A) at least annually or as required by the servicing Regional Security Officer.</w:t>
      </w:r>
    </w:p>
    <w:p w:rsidR="00502743" w:rsidRDefault="00502743">
      <w:pPr>
        <w:pStyle w:val="DefaultStyle"/>
        <w:ind w:left="720"/>
        <w:contextualSpacing/>
      </w:pPr>
    </w:p>
    <w:p w:rsidR="00502743" w:rsidRDefault="00F9698A">
      <w:pPr>
        <w:pStyle w:val="DefaultStyle"/>
        <w:ind w:left="720"/>
        <w:contextualSpacing/>
      </w:pPr>
      <w:r>
        <w:rPr>
          <w:bCs/>
        </w:rPr>
        <w:t>Responsibilities of the Foreign National Sponsor:</w:t>
      </w:r>
    </w:p>
    <w:p w:rsidR="00502743" w:rsidRDefault="00F9698A">
      <w:pPr>
        <w:pStyle w:val="DefaultStyle"/>
        <w:numPr>
          <w:ilvl w:val="0"/>
          <w:numId w:val="1"/>
        </w:numPr>
        <w:tabs>
          <w:tab w:val="left" w:pos="3600"/>
        </w:tabs>
        <w:contextualSpacing/>
      </w:pPr>
      <w:r>
        <w:t>Export Control - The foreign national’s sponsor is responsible for obtaining any required export licenses and complying with any conditions of those licenses prior to the foreign national being provided access to the controlled technology onboard regardless of the technology’s ownership.</w:t>
      </w:r>
    </w:p>
    <w:p w:rsidR="00502743" w:rsidRDefault="00F9698A">
      <w:pPr>
        <w:pStyle w:val="DefaultStyle"/>
        <w:numPr>
          <w:ilvl w:val="0"/>
          <w:numId w:val="1"/>
        </w:numPr>
        <w:tabs>
          <w:tab w:val="left" w:pos="3600"/>
        </w:tabs>
        <w:contextualSpacing/>
      </w:pPr>
      <w:r>
        <w:t>The DSN of the foreign national shall assign an on-board Program individual, who will be responsible for the foreign national while on board.  The identified individual must be a U.S. citizen, NOAA (or DOC) employee.  According to DOC/OSY, this requirement cannot be altered.</w:t>
      </w:r>
    </w:p>
    <w:p w:rsidR="00502743" w:rsidRDefault="00F9698A">
      <w:pPr>
        <w:pStyle w:val="DefaultStyle"/>
        <w:numPr>
          <w:ilvl w:val="0"/>
          <w:numId w:val="1"/>
        </w:numPr>
        <w:tabs>
          <w:tab w:val="left" w:pos="3600"/>
        </w:tabs>
        <w:contextualSpacing/>
      </w:pPr>
      <w:r>
        <w:t>Ensure completion and submission of Appendix C (Certification of Conditions and Responsibilities for a Foreign National</w:t>
      </w:r>
    </w:p>
    <w:p w:rsidR="00502743" w:rsidRDefault="00502743">
      <w:pPr>
        <w:pStyle w:val="DefaultStyle"/>
        <w:ind w:firstLine="720"/>
        <w:contextualSpacing/>
      </w:pPr>
    </w:p>
    <w:p w:rsidR="007A6AD1" w:rsidRDefault="007A6AD1">
      <w:pPr>
        <w:rPr>
          <w:rFonts w:ascii="Times New Roman" w:eastAsia="SimSun" w:hAnsi="Times New Roman" w:cs="Times New Roman"/>
          <w:b/>
          <w:color w:val="000000"/>
          <w:sz w:val="24"/>
          <w:szCs w:val="24"/>
        </w:rPr>
      </w:pPr>
      <w:r>
        <w:rPr>
          <w:b/>
        </w:rPr>
        <w:br w:type="page"/>
      </w:r>
    </w:p>
    <w:p w:rsidR="00502743" w:rsidRDefault="007A6AD1">
      <w:pPr>
        <w:pStyle w:val="DefaultStyle"/>
        <w:contextualSpacing/>
        <w:rPr>
          <w:b/>
        </w:rPr>
      </w:pPr>
      <w:r>
        <w:rPr>
          <w:b/>
        </w:rPr>
        <w:lastRenderedPageBreak/>
        <w:t>Appendix I:  Station list</w:t>
      </w:r>
    </w:p>
    <w:p w:rsidR="007A6AD1" w:rsidRDefault="007A6AD1">
      <w:pPr>
        <w:pStyle w:val="DefaultStyle"/>
        <w:contextualSpacing/>
        <w:rPr>
          <w:b/>
        </w:rPr>
      </w:pPr>
    </w:p>
    <w:tbl>
      <w:tblPr>
        <w:tblW w:w="0" w:type="auto"/>
        <w:tblInd w:w="78" w:type="dxa"/>
        <w:tblLayout w:type="fixed"/>
        <w:tblLook w:val="0000"/>
      </w:tblPr>
      <w:tblGrid>
        <w:gridCol w:w="1966"/>
        <w:gridCol w:w="2707"/>
        <w:gridCol w:w="577"/>
        <w:gridCol w:w="858"/>
        <w:gridCol w:w="312"/>
        <w:gridCol w:w="720"/>
        <w:gridCol w:w="854"/>
        <w:gridCol w:w="406"/>
        <w:gridCol w:w="810"/>
      </w:tblGrid>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Category</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Operation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Lat</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b/>
                <w:bCs/>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b/>
                <w:bCs/>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Long</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b/>
                <w:bCs/>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b/>
                <w:bCs/>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Depth</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Gore Point</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13GPP-36A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45.000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at 13GPP-36A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45.000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13GPP-34A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at 13GPP-34A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13GPP-32A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at 13GPP-32A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Kennedy Entrance</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13KEP-41A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at 13KEP-41A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Stevensons</w:t>
            </w:r>
            <w:proofErr w:type="spellEnd"/>
            <w:r>
              <w:rPr>
                <w:rFonts w:ascii="Calibri" w:hAnsi="Calibri" w:cs="Calibri"/>
                <w:color w:val="000000"/>
              </w:rPr>
              <w:t xml:space="preserve"> Pass</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13SVP-39A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152</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at 13SVP-39A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152</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Pavlof</w:t>
            </w:r>
            <w:proofErr w:type="spellEnd"/>
            <w:r>
              <w:rPr>
                <w:rFonts w:ascii="Calibri" w:hAnsi="Calibri" w:cs="Calibri"/>
                <w:color w:val="000000"/>
              </w:rPr>
              <w:t xml:space="preserve"> Bay</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at 12PA-1A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10.400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41.100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Recover 12PA-1A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10.880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41.160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13PA-1A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10.900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41.200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Unimak Box</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W</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41.260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14.210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W</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34.950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7.760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W</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28.310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W</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21.480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55.750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45.070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48.760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51.490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52.100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40.270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55.790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28.820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59.190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17.190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E</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56.230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59.730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E</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49.640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53.620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E</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42.930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47.050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S</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26.460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59.110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S</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25.160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8.430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S</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22.490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Unimak box S</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20.510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25.730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Holloweds</w:t>
            </w:r>
            <w:proofErr w:type="spellEnd"/>
            <w:r>
              <w:rPr>
                <w:rFonts w:ascii="Calibri" w:hAnsi="Calibri" w:cs="Calibri"/>
                <w:color w:val="000000"/>
              </w:rPr>
              <w:t xml:space="preserve"> drifters</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40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57.310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20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57.690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40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20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3.070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4.140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20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54.500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40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55.180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20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0.380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59.320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40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20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57.690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54.510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Drifter deployment, 40 m</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57.310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55.190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Bering Sea site 2</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CTD - site 2 </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51.800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Recover 12BS-2C</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52.081</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3.358</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Recover 12BSP-2B</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51.941</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3.440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13BSM-2A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13BSP-2A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Bongo - site 2</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CalVET</w:t>
            </w:r>
            <w:proofErr w:type="spellEnd"/>
            <w:r>
              <w:rPr>
                <w:rFonts w:ascii="Calibri" w:hAnsi="Calibri" w:cs="Calibri"/>
                <w:color w:val="000000"/>
              </w:rPr>
              <w:t xml:space="preserve"> (triplicate) - site 2</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CTD - site 2 </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box around site 2</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2/south</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163</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2/west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2/east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56.500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163</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2/north</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70 m </w:t>
            </w:r>
            <w:proofErr w:type="spellStart"/>
            <w:r>
              <w:rPr>
                <w:rFonts w:ascii="Calibri" w:hAnsi="Calibri" w:cs="Calibri"/>
                <w:color w:val="000000"/>
              </w:rPr>
              <w:t>isobath</w:t>
            </w:r>
            <w:proofErr w:type="spellEnd"/>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35.000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54.560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49.650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51.540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7.370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59.610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22.650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36.800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44.830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19.260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0.670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19.340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19.580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26.280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30.750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25.720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48.720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31.340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2.290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29.960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20.650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30.070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39.910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59.170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31.210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18.240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31.440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36.810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 of 4</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54.420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30.000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Only do if clear </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2.530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40.350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of ice</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8.830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55.090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16.920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5.680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26.770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11.140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37.020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16.530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46.460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17.620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56.900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19.640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67</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6.410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14.810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64</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14.820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24.730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63</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20.120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39.350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65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26.140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54.360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81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35.700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170</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55.370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80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42.930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8.390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79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CTD/BON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59</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46.620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171</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26.980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i/>
                <w:iCs/>
                <w:color w:val="000000"/>
              </w:rPr>
            </w:pPr>
            <w:r>
              <w:rPr>
                <w:rFonts w:ascii="Calibri" w:hAnsi="Calibri" w:cs="Calibri"/>
                <w:i/>
                <w:iCs/>
                <w:color w:val="000000"/>
              </w:rPr>
              <w:t>78</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Bering Sea site 4</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site 4</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52.500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Recover 12BS-4B</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51.982</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53.052</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Recover 12BSP-4B</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52.018</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52.348</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13BS-4A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Deploy 13BSP-4A</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site 4</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52.300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Bongo - site 4</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52.300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CalVET</w:t>
            </w:r>
            <w:proofErr w:type="spellEnd"/>
            <w:r>
              <w:rPr>
                <w:rFonts w:ascii="Calibri" w:hAnsi="Calibri" w:cs="Calibri"/>
                <w:color w:val="000000"/>
              </w:rPr>
              <w:t xml:space="preserve"> (triplicate) - site 4</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52.300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4/south</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39.200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4/east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4/north</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43.800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CTD/bongo - site 4/west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55.600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19.300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Dog-Leg</w:t>
            </w: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54.500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30.900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1500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1800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53</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47.000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1850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1900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169</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985</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45.000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w:t>
            </w:r>
          </w:p>
        </w:tc>
      </w:tr>
      <w:tr w:rsidR="00065A31" w:rsidTr="00065A31">
        <w:trPr>
          <w:trHeight w:val="581"/>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Shelf Break (1000m)  DEPTH DEPENDENT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20.500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15.200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w:t>
            </w:r>
          </w:p>
        </w:tc>
      </w:tr>
      <w:tr w:rsidR="00065A31" w:rsidTr="00065A31">
        <w:trPr>
          <w:trHeight w:val="581"/>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Shelf Break (500m)  DEPTH DEPENDENT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22.300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10.500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w:t>
            </w:r>
          </w:p>
        </w:tc>
      </w:tr>
      <w:tr w:rsidR="00065A31" w:rsidTr="00065A31">
        <w:trPr>
          <w:trHeight w:val="581"/>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Shelf Break (200m)  DEPTH DEPENDENT</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25.700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Outer Shelf Domain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Outer Shelf Domain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Outer Shelf Domain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167</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Outer Shelf Domain</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site 3</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166</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20.300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Cross-shelf</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16.480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46.320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96</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Cross-shelf</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23.540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23.170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Cross-shelf</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30.630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81</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Cross-shelf</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37.820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79</w:t>
            </w:r>
          </w:p>
        </w:tc>
      </w:tr>
      <w:tr w:rsidR="00065A31" w:rsidTr="00065A31">
        <w:trPr>
          <w:trHeight w:val="290"/>
        </w:trPr>
        <w:tc>
          <w:tcPr>
            <w:tcW w:w="196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p>
        </w:tc>
        <w:tc>
          <w:tcPr>
            <w:tcW w:w="270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CTD - Cross-shelf</w:t>
            </w:r>
          </w:p>
        </w:tc>
        <w:tc>
          <w:tcPr>
            <w:tcW w:w="577"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w:t>
            </w:r>
          </w:p>
        </w:tc>
        <w:tc>
          <w:tcPr>
            <w:tcW w:w="858"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46.000</w:t>
            </w:r>
          </w:p>
        </w:tc>
        <w:tc>
          <w:tcPr>
            <w:tcW w:w="312"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N</w:t>
            </w:r>
          </w:p>
        </w:tc>
        <w:tc>
          <w:tcPr>
            <w:tcW w:w="72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164</w:t>
            </w:r>
          </w:p>
        </w:tc>
        <w:tc>
          <w:tcPr>
            <w:tcW w:w="854"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20.000</w:t>
            </w:r>
          </w:p>
        </w:tc>
        <w:tc>
          <w:tcPr>
            <w:tcW w:w="406"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rPr>
                <w:rFonts w:ascii="Calibri" w:hAnsi="Calibri" w:cs="Calibri"/>
                <w:color w:val="000000"/>
              </w:rPr>
            </w:pPr>
            <w:r>
              <w:rPr>
                <w:rFonts w:ascii="Calibri" w:hAnsi="Calibri" w:cs="Calibri"/>
                <w:color w:val="000000"/>
              </w:rPr>
              <w:t>W</w:t>
            </w:r>
          </w:p>
        </w:tc>
        <w:tc>
          <w:tcPr>
            <w:tcW w:w="810" w:type="dxa"/>
            <w:tcBorders>
              <w:top w:val="single" w:sz="6" w:space="0" w:color="auto"/>
              <w:left w:val="single" w:sz="6" w:space="0" w:color="auto"/>
              <w:bottom w:val="single" w:sz="6" w:space="0" w:color="auto"/>
              <w:right w:val="single" w:sz="6" w:space="0" w:color="auto"/>
            </w:tcBorders>
          </w:tcPr>
          <w:p w:rsidR="00065A31" w:rsidRDefault="00065A3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75</w:t>
            </w:r>
          </w:p>
        </w:tc>
      </w:tr>
    </w:tbl>
    <w:p w:rsidR="007A6AD1" w:rsidRPr="00B46445" w:rsidRDefault="007A6AD1">
      <w:pPr>
        <w:pStyle w:val="DefaultStyle"/>
        <w:contextualSpacing/>
        <w:rPr>
          <w:sz w:val="18"/>
          <w:szCs w:val="18"/>
        </w:rPr>
      </w:pPr>
    </w:p>
    <w:sectPr w:rsidR="007A6AD1" w:rsidRPr="00B46445" w:rsidSect="00502743">
      <w:footerReference w:type="default" r:id="rId13"/>
      <w:pgSz w:w="12240" w:h="15840"/>
      <w:pgMar w:top="1440" w:right="1440" w:bottom="1440" w:left="1440" w:header="0" w:footer="72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42" w:rsidRDefault="00445742" w:rsidP="00502743">
      <w:pPr>
        <w:spacing w:after="0" w:line="240" w:lineRule="auto"/>
      </w:pPr>
      <w:r>
        <w:separator/>
      </w:r>
    </w:p>
  </w:endnote>
  <w:endnote w:type="continuationSeparator" w:id="0">
    <w:p w:rsidR="00445742" w:rsidRDefault="00445742" w:rsidP="00502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20" w:rsidRDefault="00F9050E">
    <w:pPr>
      <w:pStyle w:val="Footer"/>
      <w:jc w:val="right"/>
    </w:pPr>
    <w:fldSimple w:instr="PAGE">
      <w:r w:rsidR="00B062F7">
        <w:rPr>
          <w:noProof/>
        </w:rPr>
        <w:t>1</w:t>
      </w:r>
    </w:fldSimple>
  </w:p>
  <w:p w:rsidR="00734320" w:rsidRDefault="00734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42" w:rsidRDefault="00445742" w:rsidP="00502743">
      <w:pPr>
        <w:spacing w:after="0" w:line="240" w:lineRule="auto"/>
      </w:pPr>
      <w:r>
        <w:separator/>
      </w:r>
    </w:p>
  </w:footnote>
  <w:footnote w:type="continuationSeparator" w:id="0">
    <w:p w:rsidR="00445742" w:rsidRDefault="00445742" w:rsidP="00502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1BB"/>
    <w:multiLevelType w:val="multilevel"/>
    <w:tmpl w:val="7D8E2F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390838"/>
    <w:multiLevelType w:val="multilevel"/>
    <w:tmpl w:val="DE7848F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1C1C2253"/>
    <w:multiLevelType w:val="multilevel"/>
    <w:tmpl w:val="01208B8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27076935"/>
    <w:multiLevelType w:val="multilevel"/>
    <w:tmpl w:val="D20A482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29B66206"/>
    <w:multiLevelType w:val="multilevel"/>
    <w:tmpl w:val="745682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4A3C31B7"/>
    <w:multiLevelType w:val="multilevel"/>
    <w:tmpl w:val="F4D4F1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A585C7F"/>
    <w:multiLevelType w:val="multilevel"/>
    <w:tmpl w:val="93E8BF1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C092D52"/>
    <w:multiLevelType w:val="multilevel"/>
    <w:tmpl w:val="C7E2B44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F5D5C19"/>
    <w:multiLevelType w:val="multilevel"/>
    <w:tmpl w:val="0C545472"/>
    <w:lvl w:ilvl="0">
      <w:start w:val="1"/>
      <w:numFmt w:val="lowerLetter"/>
      <w:lvlText w:val="%1)"/>
      <w:lvlJc w:val="left"/>
      <w:pPr>
        <w:tabs>
          <w:tab w:val="num" w:pos="2175"/>
        </w:tabs>
        <w:ind w:left="2175" w:hanging="360"/>
      </w:pPr>
    </w:lvl>
    <w:lvl w:ilvl="1">
      <w:start w:val="1"/>
      <w:numFmt w:val="decimal"/>
      <w:lvlText w:val="%2."/>
      <w:lvlJc w:val="left"/>
      <w:pPr>
        <w:tabs>
          <w:tab w:val="num" w:pos="2535"/>
        </w:tabs>
        <w:ind w:left="2535" w:hanging="360"/>
      </w:pPr>
    </w:lvl>
    <w:lvl w:ilvl="2">
      <w:start w:val="1"/>
      <w:numFmt w:val="decimal"/>
      <w:lvlText w:val="%3."/>
      <w:lvlJc w:val="left"/>
      <w:pPr>
        <w:tabs>
          <w:tab w:val="num" w:pos="2895"/>
        </w:tabs>
        <w:ind w:left="2895" w:hanging="360"/>
      </w:pPr>
    </w:lvl>
    <w:lvl w:ilvl="3">
      <w:start w:val="1"/>
      <w:numFmt w:val="decimal"/>
      <w:lvlText w:val="%4."/>
      <w:lvlJc w:val="left"/>
      <w:pPr>
        <w:tabs>
          <w:tab w:val="num" w:pos="3255"/>
        </w:tabs>
        <w:ind w:left="3255" w:hanging="360"/>
      </w:pPr>
    </w:lvl>
    <w:lvl w:ilvl="4">
      <w:start w:val="1"/>
      <w:numFmt w:val="decimal"/>
      <w:lvlText w:val="%5."/>
      <w:lvlJc w:val="left"/>
      <w:pPr>
        <w:tabs>
          <w:tab w:val="num" w:pos="3615"/>
        </w:tabs>
        <w:ind w:left="3615" w:hanging="360"/>
      </w:pPr>
    </w:lvl>
    <w:lvl w:ilvl="5">
      <w:start w:val="1"/>
      <w:numFmt w:val="decimal"/>
      <w:lvlText w:val="%6."/>
      <w:lvlJc w:val="left"/>
      <w:pPr>
        <w:tabs>
          <w:tab w:val="num" w:pos="3975"/>
        </w:tabs>
        <w:ind w:left="3975" w:hanging="360"/>
      </w:pPr>
    </w:lvl>
    <w:lvl w:ilvl="6">
      <w:start w:val="1"/>
      <w:numFmt w:val="decimal"/>
      <w:lvlText w:val="%7."/>
      <w:lvlJc w:val="left"/>
      <w:pPr>
        <w:tabs>
          <w:tab w:val="num" w:pos="4335"/>
        </w:tabs>
        <w:ind w:left="4335" w:hanging="360"/>
      </w:pPr>
    </w:lvl>
    <w:lvl w:ilvl="7">
      <w:start w:val="1"/>
      <w:numFmt w:val="decimal"/>
      <w:lvlText w:val="%8."/>
      <w:lvlJc w:val="left"/>
      <w:pPr>
        <w:tabs>
          <w:tab w:val="num" w:pos="4695"/>
        </w:tabs>
        <w:ind w:left="4695" w:hanging="360"/>
      </w:pPr>
    </w:lvl>
    <w:lvl w:ilvl="8">
      <w:start w:val="1"/>
      <w:numFmt w:val="decimal"/>
      <w:lvlText w:val="%9."/>
      <w:lvlJc w:val="left"/>
      <w:pPr>
        <w:tabs>
          <w:tab w:val="num" w:pos="5055"/>
        </w:tabs>
        <w:ind w:left="5055" w:hanging="360"/>
      </w:pPr>
    </w:lvl>
  </w:abstractNum>
  <w:abstractNum w:abstractNumId="9">
    <w:nsid w:val="5757787B"/>
    <w:multiLevelType w:val="multilevel"/>
    <w:tmpl w:val="9CC82B4C"/>
    <w:lvl w:ilvl="0">
      <w:start w:val="1"/>
      <w:numFmt w:val="bullet"/>
      <w:lvlText w:val=""/>
      <w:lvlJc w:val="left"/>
      <w:pPr>
        <w:tabs>
          <w:tab w:val="num" w:pos="1470"/>
        </w:tabs>
        <w:ind w:left="1470" w:hanging="360"/>
      </w:pPr>
      <w:rPr>
        <w:rFonts w:ascii="Symbol" w:hAnsi="Symbol" w:cs="Symbol" w:hint="default"/>
      </w:rPr>
    </w:lvl>
    <w:lvl w:ilvl="1">
      <w:start w:val="1"/>
      <w:numFmt w:val="bullet"/>
      <w:lvlText w:val="◦"/>
      <w:lvlJc w:val="left"/>
      <w:pPr>
        <w:tabs>
          <w:tab w:val="num" w:pos="1830"/>
        </w:tabs>
        <w:ind w:left="1830" w:hanging="360"/>
      </w:pPr>
      <w:rPr>
        <w:rFonts w:ascii="OpenSymbol" w:hAnsi="OpenSymbol" w:cs="OpenSymbol" w:hint="default"/>
      </w:rPr>
    </w:lvl>
    <w:lvl w:ilvl="2">
      <w:start w:val="1"/>
      <w:numFmt w:val="bullet"/>
      <w:lvlText w:val="▪"/>
      <w:lvlJc w:val="left"/>
      <w:pPr>
        <w:tabs>
          <w:tab w:val="num" w:pos="2190"/>
        </w:tabs>
        <w:ind w:left="2190" w:hanging="360"/>
      </w:pPr>
      <w:rPr>
        <w:rFonts w:ascii="OpenSymbol" w:hAnsi="OpenSymbol" w:cs="OpenSymbol" w:hint="default"/>
      </w:rPr>
    </w:lvl>
    <w:lvl w:ilvl="3">
      <w:start w:val="1"/>
      <w:numFmt w:val="bullet"/>
      <w:lvlText w:val=""/>
      <w:lvlJc w:val="left"/>
      <w:pPr>
        <w:tabs>
          <w:tab w:val="num" w:pos="2550"/>
        </w:tabs>
        <w:ind w:left="2550" w:hanging="360"/>
      </w:pPr>
      <w:rPr>
        <w:rFonts w:ascii="Symbol" w:hAnsi="Symbol" w:cs="Symbol" w:hint="default"/>
      </w:rPr>
    </w:lvl>
    <w:lvl w:ilvl="4">
      <w:start w:val="1"/>
      <w:numFmt w:val="bullet"/>
      <w:lvlText w:val="◦"/>
      <w:lvlJc w:val="left"/>
      <w:pPr>
        <w:tabs>
          <w:tab w:val="num" w:pos="2910"/>
        </w:tabs>
        <w:ind w:left="2910" w:hanging="360"/>
      </w:pPr>
      <w:rPr>
        <w:rFonts w:ascii="OpenSymbol" w:hAnsi="OpenSymbol" w:cs="OpenSymbol" w:hint="default"/>
      </w:rPr>
    </w:lvl>
    <w:lvl w:ilvl="5">
      <w:start w:val="1"/>
      <w:numFmt w:val="bullet"/>
      <w:lvlText w:val="▪"/>
      <w:lvlJc w:val="left"/>
      <w:pPr>
        <w:tabs>
          <w:tab w:val="num" w:pos="3270"/>
        </w:tabs>
        <w:ind w:left="3270" w:hanging="360"/>
      </w:pPr>
      <w:rPr>
        <w:rFonts w:ascii="OpenSymbol" w:hAnsi="OpenSymbol" w:cs="OpenSymbol" w:hint="default"/>
      </w:rPr>
    </w:lvl>
    <w:lvl w:ilvl="6">
      <w:start w:val="1"/>
      <w:numFmt w:val="bullet"/>
      <w:lvlText w:val=""/>
      <w:lvlJc w:val="left"/>
      <w:pPr>
        <w:tabs>
          <w:tab w:val="num" w:pos="3630"/>
        </w:tabs>
        <w:ind w:left="3630" w:hanging="360"/>
      </w:pPr>
      <w:rPr>
        <w:rFonts w:ascii="Symbol" w:hAnsi="Symbol" w:cs="Symbol" w:hint="default"/>
      </w:rPr>
    </w:lvl>
    <w:lvl w:ilvl="7">
      <w:start w:val="1"/>
      <w:numFmt w:val="bullet"/>
      <w:lvlText w:val="◦"/>
      <w:lvlJc w:val="left"/>
      <w:pPr>
        <w:tabs>
          <w:tab w:val="num" w:pos="3990"/>
        </w:tabs>
        <w:ind w:left="3990" w:hanging="360"/>
      </w:pPr>
      <w:rPr>
        <w:rFonts w:ascii="OpenSymbol" w:hAnsi="OpenSymbol" w:cs="OpenSymbol" w:hint="default"/>
      </w:rPr>
    </w:lvl>
    <w:lvl w:ilvl="8">
      <w:start w:val="1"/>
      <w:numFmt w:val="bullet"/>
      <w:lvlText w:val="▪"/>
      <w:lvlJc w:val="left"/>
      <w:pPr>
        <w:tabs>
          <w:tab w:val="num" w:pos="4350"/>
        </w:tabs>
        <w:ind w:left="4350" w:hanging="360"/>
      </w:pPr>
      <w:rPr>
        <w:rFonts w:ascii="OpenSymbol" w:hAnsi="OpenSymbol" w:cs="OpenSymbol" w:hint="default"/>
      </w:rPr>
    </w:lvl>
  </w:abstractNum>
  <w:abstractNum w:abstractNumId="10">
    <w:nsid w:val="6D911F00"/>
    <w:multiLevelType w:val="multilevel"/>
    <w:tmpl w:val="FEF0CA4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nsid w:val="711C1C58"/>
    <w:multiLevelType w:val="multilevel"/>
    <w:tmpl w:val="1332A34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4AD71E9"/>
    <w:multiLevelType w:val="multilevel"/>
    <w:tmpl w:val="9816FEA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5A1640C"/>
    <w:multiLevelType w:val="multilevel"/>
    <w:tmpl w:val="B62E8CE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786C27BE"/>
    <w:multiLevelType w:val="multilevel"/>
    <w:tmpl w:val="A81252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12"/>
  </w:num>
  <w:num w:numId="3">
    <w:abstractNumId w:val="6"/>
  </w:num>
  <w:num w:numId="4">
    <w:abstractNumId w:val="0"/>
  </w:num>
  <w:num w:numId="5">
    <w:abstractNumId w:val="7"/>
  </w:num>
  <w:num w:numId="6">
    <w:abstractNumId w:val="5"/>
  </w:num>
  <w:num w:numId="7">
    <w:abstractNumId w:val="11"/>
  </w:num>
  <w:num w:numId="8">
    <w:abstractNumId w:val="8"/>
  </w:num>
  <w:num w:numId="9">
    <w:abstractNumId w:val="13"/>
  </w:num>
  <w:num w:numId="10">
    <w:abstractNumId w:val="10"/>
  </w:num>
  <w:num w:numId="11">
    <w:abstractNumId w:val="1"/>
  </w:num>
  <w:num w:numId="12">
    <w:abstractNumId w:val="3"/>
  </w:num>
  <w:num w:numId="13">
    <w:abstractNumId w:val="2"/>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02743"/>
    <w:rsid w:val="00055E1A"/>
    <w:rsid w:val="00065A31"/>
    <w:rsid w:val="0030610B"/>
    <w:rsid w:val="00382DEA"/>
    <w:rsid w:val="00445742"/>
    <w:rsid w:val="00457F44"/>
    <w:rsid w:val="00486508"/>
    <w:rsid w:val="00502743"/>
    <w:rsid w:val="005E2A39"/>
    <w:rsid w:val="006D141A"/>
    <w:rsid w:val="00734320"/>
    <w:rsid w:val="00757054"/>
    <w:rsid w:val="007A6AD1"/>
    <w:rsid w:val="007C6DF9"/>
    <w:rsid w:val="008375AF"/>
    <w:rsid w:val="00913267"/>
    <w:rsid w:val="009979B5"/>
    <w:rsid w:val="00AF2459"/>
    <w:rsid w:val="00B03A69"/>
    <w:rsid w:val="00B062F7"/>
    <w:rsid w:val="00B46445"/>
    <w:rsid w:val="00BE578D"/>
    <w:rsid w:val="00C45C5B"/>
    <w:rsid w:val="00F72130"/>
    <w:rsid w:val="00F82B09"/>
    <w:rsid w:val="00F837BE"/>
    <w:rsid w:val="00F9050E"/>
    <w:rsid w:val="00F96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502743"/>
    <w:pPr>
      <w:suppressAutoHyphens/>
      <w:spacing w:after="0" w:line="100" w:lineRule="atLeast"/>
    </w:pPr>
    <w:rPr>
      <w:rFonts w:ascii="Times New Roman" w:eastAsia="SimSun" w:hAnsi="Times New Roman" w:cs="Times New Roman"/>
      <w:color w:val="000000"/>
      <w:sz w:val="24"/>
      <w:szCs w:val="24"/>
    </w:rPr>
  </w:style>
  <w:style w:type="character" w:customStyle="1" w:styleId="WW8Num3z0">
    <w:name w:val="WW8Num3z0"/>
    <w:rsid w:val="00502743"/>
    <w:rPr>
      <w:rFonts w:ascii="Symbol" w:hAnsi="Symbol" w:cs="Symbol"/>
    </w:rPr>
  </w:style>
  <w:style w:type="character" w:customStyle="1" w:styleId="WW8Num3z1">
    <w:name w:val="WW8Num3z1"/>
    <w:rsid w:val="00502743"/>
    <w:rPr>
      <w:rFonts w:ascii="Courier New" w:hAnsi="Courier New" w:cs="Courier New"/>
    </w:rPr>
  </w:style>
  <w:style w:type="character" w:customStyle="1" w:styleId="WW8Num3z2">
    <w:name w:val="WW8Num3z2"/>
    <w:rsid w:val="00502743"/>
    <w:rPr>
      <w:rFonts w:ascii="Wingdings" w:hAnsi="Wingdings" w:cs="Wingdings"/>
    </w:rPr>
  </w:style>
  <w:style w:type="character" w:customStyle="1" w:styleId="WW8Num4z0">
    <w:name w:val="WW8Num4z0"/>
    <w:rsid w:val="00502743"/>
    <w:rPr>
      <w:rFonts w:ascii="Symbol" w:hAnsi="Symbol" w:cs="Symbol"/>
    </w:rPr>
  </w:style>
  <w:style w:type="character" w:customStyle="1" w:styleId="WW8Num4z1">
    <w:name w:val="WW8Num4z1"/>
    <w:rsid w:val="00502743"/>
    <w:rPr>
      <w:rFonts w:ascii="Courier New" w:hAnsi="Courier New" w:cs="Courier New"/>
    </w:rPr>
  </w:style>
  <w:style w:type="character" w:customStyle="1" w:styleId="WW8Num4z2">
    <w:name w:val="WW8Num4z2"/>
    <w:rsid w:val="00502743"/>
    <w:rPr>
      <w:rFonts w:ascii="Wingdings" w:hAnsi="Wingdings" w:cs="Wingdings"/>
    </w:rPr>
  </w:style>
  <w:style w:type="character" w:customStyle="1" w:styleId="WW8Num6z0">
    <w:name w:val="WW8Num6z0"/>
    <w:rsid w:val="00502743"/>
    <w:rPr>
      <w:rFonts w:ascii="Symbol" w:hAnsi="Symbol" w:cs="Symbol"/>
    </w:rPr>
  </w:style>
  <w:style w:type="character" w:customStyle="1" w:styleId="WW8Num6z1">
    <w:name w:val="WW8Num6z1"/>
    <w:rsid w:val="00502743"/>
    <w:rPr>
      <w:rFonts w:ascii="Courier New" w:hAnsi="Courier New" w:cs="Courier New"/>
    </w:rPr>
  </w:style>
  <w:style w:type="character" w:customStyle="1" w:styleId="WW8Num6z2">
    <w:name w:val="WW8Num6z2"/>
    <w:rsid w:val="00502743"/>
    <w:rPr>
      <w:rFonts w:ascii="Wingdings" w:hAnsi="Wingdings" w:cs="Wingdings"/>
    </w:rPr>
  </w:style>
  <w:style w:type="character" w:customStyle="1" w:styleId="WW8Num7z0">
    <w:name w:val="WW8Num7z0"/>
    <w:rsid w:val="00502743"/>
    <w:rPr>
      <w:rFonts w:ascii="Symbol" w:hAnsi="Symbol" w:cs="Symbol"/>
    </w:rPr>
  </w:style>
  <w:style w:type="character" w:customStyle="1" w:styleId="WW8Num7z1">
    <w:name w:val="WW8Num7z1"/>
    <w:rsid w:val="00502743"/>
    <w:rPr>
      <w:rFonts w:ascii="Courier New" w:hAnsi="Courier New" w:cs="Courier New"/>
    </w:rPr>
  </w:style>
  <w:style w:type="character" w:customStyle="1" w:styleId="WW8Num7z2">
    <w:name w:val="WW8Num7z2"/>
    <w:rsid w:val="00502743"/>
    <w:rPr>
      <w:rFonts w:ascii="Wingdings" w:hAnsi="Wingdings" w:cs="Wingdings"/>
    </w:rPr>
  </w:style>
  <w:style w:type="character" w:customStyle="1" w:styleId="WW8Num8z0">
    <w:name w:val="WW8Num8z0"/>
    <w:rsid w:val="00502743"/>
    <w:rPr>
      <w:rFonts w:ascii="Symbol" w:hAnsi="Symbol" w:cs="Symbol"/>
    </w:rPr>
  </w:style>
  <w:style w:type="character" w:customStyle="1" w:styleId="WW8Num8z1">
    <w:name w:val="WW8Num8z1"/>
    <w:rsid w:val="00502743"/>
    <w:rPr>
      <w:rFonts w:ascii="Courier New" w:hAnsi="Courier New" w:cs="Courier New"/>
    </w:rPr>
  </w:style>
  <w:style w:type="character" w:customStyle="1" w:styleId="WW8Num8z2">
    <w:name w:val="WW8Num8z2"/>
    <w:rsid w:val="00502743"/>
    <w:rPr>
      <w:rFonts w:ascii="Wingdings" w:hAnsi="Wingdings" w:cs="Wingdings"/>
    </w:rPr>
  </w:style>
  <w:style w:type="character" w:customStyle="1" w:styleId="WW8Num9z0">
    <w:name w:val="WW8Num9z0"/>
    <w:rsid w:val="00502743"/>
    <w:rPr>
      <w:rFonts w:ascii="Symbol" w:hAnsi="Symbol" w:cs="Symbol"/>
    </w:rPr>
  </w:style>
  <w:style w:type="character" w:customStyle="1" w:styleId="WW8Num9z1">
    <w:name w:val="WW8Num9z1"/>
    <w:rsid w:val="00502743"/>
    <w:rPr>
      <w:rFonts w:ascii="Courier New" w:hAnsi="Courier New" w:cs="Courier New"/>
    </w:rPr>
  </w:style>
  <w:style w:type="character" w:customStyle="1" w:styleId="WW8Num9z2">
    <w:name w:val="WW8Num9z2"/>
    <w:rsid w:val="00502743"/>
    <w:rPr>
      <w:rFonts w:ascii="Wingdings" w:hAnsi="Wingdings" w:cs="Wingdings"/>
    </w:rPr>
  </w:style>
  <w:style w:type="character" w:customStyle="1" w:styleId="InternetLink">
    <w:name w:val="Internet Link"/>
    <w:basedOn w:val="DefaultParagraphFont"/>
    <w:rsid w:val="00502743"/>
    <w:rPr>
      <w:color w:val="0000FF"/>
      <w:u w:val="single"/>
    </w:rPr>
  </w:style>
  <w:style w:type="character" w:styleId="CommentReference">
    <w:name w:val="annotation reference"/>
    <w:rsid w:val="00502743"/>
    <w:rPr>
      <w:sz w:val="16"/>
      <w:szCs w:val="16"/>
    </w:rPr>
  </w:style>
  <w:style w:type="character" w:customStyle="1" w:styleId="CommentTextChar">
    <w:name w:val="Comment Text Char"/>
    <w:basedOn w:val="DefaultParagraphFont"/>
    <w:rsid w:val="00502743"/>
    <w:rPr>
      <w:sz w:val="20"/>
      <w:szCs w:val="20"/>
    </w:rPr>
  </w:style>
  <w:style w:type="character" w:customStyle="1" w:styleId="BalloonTextChar">
    <w:name w:val="Balloon Text Char"/>
    <w:basedOn w:val="DefaultParagraphFont"/>
    <w:rsid w:val="00502743"/>
    <w:rPr>
      <w:rFonts w:ascii="Tahoma" w:hAnsi="Tahoma" w:cs="Tahoma"/>
      <w:sz w:val="16"/>
      <w:szCs w:val="16"/>
    </w:rPr>
  </w:style>
  <w:style w:type="character" w:customStyle="1" w:styleId="HeaderChar">
    <w:name w:val="Header Char"/>
    <w:basedOn w:val="DefaultParagraphFont"/>
    <w:rsid w:val="00502743"/>
  </w:style>
  <w:style w:type="character" w:customStyle="1" w:styleId="FooterChar">
    <w:name w:val="Footer Char"/>
    <w:basedOn w:val="DefaultParagraphFont"/>
    <w:rsid w:val="00502743"/>
  </w:style>
  <w:style w:type="character" w:customStyle="1" w:styleId="CommentSubjectChar">
    <w:name w:val="Comment Subject Char"/>
    <w:basedOn w:val="CommentTextChar"/>
    <w:rsid w:val="00502743"/>
    <w:rPr>
      <w:b/>
      <w:bCs/>
      <w:sz w:val="20"/>
      <w:szCs w:val="20"/>
    </w:rPr>
  </w:style>
  <w:style w:type="character" w:customStyle="1" w:styleId="VisitedInternetLink">
    <w:name w:val="Visited Internet Link"/>
    <w:basedOn w:val="DefaultParagraphFont"/>
    <w:rsid w:val="00502743"/>
    <w:rPr>
      <w:color w:val="800080"/>
      <w:u w:val="single"/>
    </w:rPr>
  </w:style>
  <w:style w:type="character" w:customStyle="1" w:styleId="ListLabel1">
    <w:name w:val="ListLabel 1"/>
    <w:rsid w:val="00502743"/>
    <w:rPr>
      <w:rFonts w:cs="Courier New"/>
    </w:rPr>
  </w:style>
  <w:style w:type="character" w:customStyle="1" w:styleId="ListLabel2">
    <w:name w:val="ListLabel 2"/>
    <w:rsid w:val="00502743"/>
    <w:rPr>
      <w:rFonts w:cs="Courier New"/>
    </w:rPr>
  </w:style>
  <w:style w:type="character" w:customStyle="1" w:styleId="ListLabel3">
    <w:name w:val="ListLabel 3"/>
    <w:rsid w:val="00502743"/>
    <w:rPr>
      <w:rFonts w:cs="Wingdings"/>
    </w:rPr>
  </w:style>
  <w:style w:type="character" w:styleId="FollowedHyperlink">
    <w:name w:val="FollowedHyperlink"/>
    <w:rsid w:val="00502743"/>
    <w:rPr>
      <w:u w:val="single"/>
    </w:rPr>
  </w:style>
  <w:style w:type="character" w:customStyle="1" w:styleId="Bullets">
    <w:name w:val="Bullets"/>
    <w:rsid w:val="00502743"/>
    <w:rPr>
      <w:rFonts w:ascii="OpenSymbol" w:eastAsia="OpenSymbol" w:hAnsi="OpenSymbol" w:cs="OpenSymbol"/>
    </w:rPr>
  </w:style>
  <w:style w:type="character" w:customStyle="1" w:styleId="ListLabel4">
    <w:name w:val="ListLabel 4"/>
    <w:rsid w:val="00502743"/>
    <w:rPr>
      <w:rFonts w:cs="Symbol"/>
    </w:rPr>
  </w:style>
  <w:style w:type="character" w:customStyle="1" w:styleId="ListLabel5">
    <w:name w:val="ListLabel 5"/>
    <w:rsid w:val="00502743"/>
    <w:rPr>
      <w:rFonts w:cs="Courier New"/>
    </w:rPr>
  </w:style>
  <w:style w:type="character" w:customStyle="1" w:styleId="ListLabel6">
    <w:name w:val="ListLabel 6"/>
    <w:rsid w:val="00502743"/>
    <w:rPr>
      <w:rFonts w:cs="Wingdings"/>
    </w:rPr>
  </w:style>
  <w:style w:type="character" w:customStyle="1" w:styleId="ListLabel7">
    <w:name w:val="ListLabel 7"/>
    <w:rsid w:val="00502743"/>
    <w:rPr>
      <w:rFonts w:cs="Symbol"/>
    </w:rPr>
  </w:style>
  <w:style w:type="character" w:customStyle="1" w:styleId="ListLabel8">
    <w:name w:val="ListLabel 8"/>
    <w:rsid w:val="00502743"/>
    <w:rPr>
      <w:rFonts w:cs="Courier New"/>
    </w:rPr>
  </w:style>
  <w:style w:type="character" w:customStyle="1" w:styleId="ListLabel9">
    <w:name w:val="ListLabel 9"/>
    <w:rsid w:val="00502743"/>
    <w:rPr>
      <w:rFonts w:cs="Wingdings"/>
    </w:rPr>
  </w:style>
  <w:style w:type="character" w:customStyle="1" w:styleId="ListLabel10">
    <w:name w:val="ListLabel 10"/>
    <w:rsid w:val="00502743"/>
    <w:rPr>
      <w:rFonts w:cs="OpenSymbol"/>
    </w:rPr>
  </w:style>
  <w:style w:type="character" w:customStyle="1" w:styleId="ListLabel11">
    <w:name w:val="ListLabel 11"/>
    <w:rsid w:val="00502743"/>
    <w:rPr>
      <w:rFonts w:cs="Symbol"/>
    </w:rPr>
  </w:style>
  <w:style w:type="character" w:customStyle="1" w:styleId="ListLabel12">
    <w:name w:val="ListLabel 12"/>
    <w:rsid w:val="00502743"/>
    <w:rPr>
      <w:rFonts w:cs="Courier New"/>
    </w:rPr>
  </w:style>
  <w:style w:type="character" w:customStyle="1" w:styleId="ListLabel13">
    <w:name w:val="ListLabel 13"/>
    <w:rsid w:val="00502743"/>
    <w:rPr>
      <w:rFonts w:cs="Wingdings"/>
    </w:rPr>
  </w:style>
  <w:style w:type="character" w:customStyle="1" w:styleId="ListLabel14">
    <w:name w:val="ListLabel 14"/>
    <w:rsid w:val="00502743"/>
    <w:rPr>
      <w:rFonts w:cs="OpenSymbol"/>
    </w:rPr>
  </w:style>
  <w:style w:type="paragraph" w:customStyle="1" w:styleId="Heading">
    <w:name w:val="Heading"/>
    <w:basedOn w:val="DefaultStyle"/>
    <w:next w:val="TextBody"/>
    <w:rsid w:val="00502743"/>
    <w:pPr>
      <w:keepNext/>
      <w:spacing w:before="240" w:after="120"/>
    </w:pPr>
    <w:rPr>
      <w:rFonts w:ascii="Arial" w:eastAsia="Microsoft YaHei" w:hAnsi="Arial" w:cs="Mangal"/>
      <w:sz w:val="28"/>
      <w:szCs w:val="28"/>
    </w:rPr>
  </w:style>
  <w:style w:type="paragraph" w:customStyle="1" w:styleId="TextBody">
    <w:name w:val="Text Body"/>
    <w:basedOn w:val="DefaultStyle"/>
    <w:rsid w:val="00502743"/>
    <w:pPr>
      <w:spacing w:after="120"/>
    </w:pPr>
  </w:style>
  <w:style w:type="paragraph" w:styleId="List">
    <w:name w:val="List"/>
    <w:basedOn w:val="TextBody"/>
    <w:rsid w:val="00502743"/>
    <w:rPr>
      <w:rFonts w:cs="Mangal"/>
    </w:rPr>
  </w:style>
  <w:style w:type="paragraph" w:styleId="Caption">
    <w:name w:val="caption"/>
    <w:basedOn w:val="DefaultStyle"/>
    <w:rsid w:val="00502743"/>
    <w:pPr>
      <w:suppressLineNumbers/>
      <w:spacing w:before="120" w:after="120"/>
    </w:pPr>
    <w:rPr>
      <w:rFonts w:cs="Mangal"/>
      <w:i/>
      <w:iCs/>
    </w:rPr>
  </w:style>
  <w:style w:type="paragraph" w:customStyle="1" w:styleId="Index">
    <w:name w:val="Index"/>
    <w:basedOn w:val="DefaultStyle"/>
    <w:rsid w:val="00502743"/>
    <w:pPr>
      <w:suppressLineNumbers/>
    </w:pPr>
    <w:rPr>
      <w:rFonts w:cs="Mangal"/>
    </w:rPr>
  </w:style>
  <w:style w:type="paragraph" w:styleId="CommentText">
    <w:name w:val="annotation text"/>
    <w:basedOn w:val="DefaultStyle"/>
    <w:rsid w:val="00502743"/>
    <w:rPr>
      <w:sz w:val="20"/>
      <w:szCs w:val="20"/>
    </w:rPr>
  </w:style>
  <w:style w:type="paragraph" w:styleId="ListParagraph">
    <w:name w:val="List Paragraph"/>
    <w:basedOn w:val="DefaultStyle"/>
    <w:rsid w:val="00502743"/>
    <w:pPr>
      <w:spacing w:after="200"/>
      <w:ind w:left="720"/>
      <w:contextualSpacing/>
    </w:pPr>
    <w:rPr>
      <w:rFonts w:eastAsia="Calibri"/>
    </w:rPr>
  </w:style>
  <w:style w:type="paragraph" w:styleId="BalloonText">
    <w:name w:val="Balloon Text"/>
    <w:basedOn w:val="DefaultStyle"/>
    <w:rsid w:val="00502743"/>
    <w:rPr>
      <w:rFonts w:ascii="Tahoma" w:hAnsi="Tahoma" w:cs="Tahoma"/>
      <w:sz w:val="16"/>
      <w:szCs w:val="16"/>
    </w:rPr>
  </w:style>
  <w:style w:type="paragraph" w:styleId="Header">
    <w:name w:val="header"/>
    <w:basedOn w:val="DefaultStyle"/>
    <w:rsid w:val="00502743"/>
    <w:pPr>
      <w:tabs>
        <w:tab w:val="center" w:pos="4680"/>
        <w:tab w:val="right" w:pos="9360"/>
      </w:tabs>
    </w:pPr>
  </w:style>
  <w:style w:type="paragraph" w:styleId="Footer">
    <w:name w:val="footer"/>
    <w:basedOn w:val="DefaultStyle"/>
    <w:rsid w:val="00502743"/>
    <w:pPr>
      <w:tabs>
        <w:tab w:val="center" w:pos="4680"/>
        <w:tab w:val="right" w:pos="9360"/>
      </w:tabs>
    </w:pPr>
  </w:style>
  <w:style w:type="paragraph" w:styleId="NormalWeb">
    <w:name w:val="Normal (Web)"/>
    <w:basedOn w:val="DefaultStyle"/>
    <w:rsid w:val="00502743"/>
    <w:pPr>
      <w:spacing w:before="28" w:after="28"/>
    </w:pPr>
    <w:rPr>
      <w:rFonts w:eastAsia="Times New Roman"/>
    </w:rPr>
  </w:style>
  <w:style w:type="paragraph" w:styleId="CommentSubject">
    <w:name w:val="annotation subject"/>
    <w:rsid w:val="00502743"/>
    <w:pPr>
      <w:suppressAutoHyphens/>
    </w:pPr>
    <w:rPr>
      <w:rFonts w:ascii="Times New Roman" w:eastAsia="SimSun" w:hAnsi="Times New Roman" w:cs="Mangal"/>
      <w:b/>
      <w:bCs/>
      <w:color w:val="00000A"/>
      <w:sz w:val="20"/>
      <w:szCs w:val="20"/>
      <w:lang w:eastAsia="zh-CN" w:bidi="hi-IN"/>
    </w:rPr>
  </w:style>
  <w:style w:type="paragraph" w:customStyle="1" w:styleId="TableContents">
    <w:name w:val="Table Contents"/>
    <w:basedOn w:val="DefaultStyle"/>
    <w:rsid w:val="00502743"/>
    <w:pPr>
      <w:suppressLineNumbers/>
    </w:pPr>
  </w:style>
  <w:style w:type="paragraph" w:customStyle="1" w:styleId="TableHeading">
    <w:name w:val="Table Heading"/>
    <w:basedOn w:val="TableContents"/>
    <w:rsid w:val="00502743"/>
    <w:pPr>
      <w:jc w:val="center"/>
    </w:pPr>
    <w:rPr>
      <w:b/>
      <w:bCs/>
    </w:rPr>
  </w:style>
</w:styles>
</file>

<file path=word/webSettings.xml><?xml version="1.0" encoding="utf-8"?>
<w:webSettings xmlns:r="http://schemas.openxmlformats.org/officeDocument/2006/relationships" xmlns:w="http://schemas.openxmlformats.org/wordprocessingml/2006/main">
  <w:divs>
    <w:div w:id="258761131">
      <w:bodyDiv w:val="1"/>
      <w:marLeft w:val="0"/>
      <w:marRight w:val="0"/>
      <w:marTop w:val="0"/>
      <w:marBottom w:val="0"/>
      <w:divBdr>
        <w:top w:val="none" w:sz="0" w:space="0" w:color="auto"/>
        <w:left w:val="none" w:sz="0" w:space="0" w:color="auto"/>
        <w:bottom w:val="none" w:sz="0" w:space="0" w:color="auto"/>
        <w:right w:val="none" w:sz="0" w:space="0" w:color="auto"/>
      </w:divBdr>
    </w:div>
    <w:div w:id="272247320">
      <w:bodyDiv w:val="1"/>
      <w:marLeft w:val="0"/>
      <w:marRight w:val="0"/>
      <w:marTop w:val="0"/>
      <w:marBottom w:val="0"/>
      <w:divBdr>
        <w:top w:val="none" w:sz="0" w:space="0" w:color="auto"/>
        <w:left w:val="none" w:sz="0" w:space="0" w:color="auto"/>
        <w:bottom w:val="none" w:sz="0" w:space="0" w:color="auto"/>
        <w:right w:val="none" w:sz="0" w:space="0" w:color="auto"/>
      </w:divBdr>
    </w:div>
    <w:div w:id="887493156">
      <w:bodyDiv w:val="1"/>
      <w:marLeft w:val="0"/>
      <w:marRight w:val="0"/>
      <w:marTop w:val="0"/>
      <w:marBottom w:val="0"/>
      <w:divBdr>
        <w:top w:val="none" w:sz="0" w:space="0" w:color="auto"/>
        <w:left w:val="none" w:sz="0" w:space="0" w:color="auto"/>
        <w:bottom w:val="none" w:sz="0" w:space="0" w:color="auto"/>
        <w:right w:val="none" w:sz="0" w:space="0" w:color="auto"/>
      </w:divBdr>
    </w:div>
    <w:div w:id="1006707638">
      <w:bodyDiv w:val="1"/>
      <w:marLeft w:val="0"/>
      <w:marRight w:val="0"/>
      <w:marTop w:val="0"/>
      <w:marBottom w:val="0"/>
      <w:divBdr>
        <w:top w:val="none" w:sz="0" w:space="0" w:color="auto"/>
        <w:left w:val="none" w:sz="0" w:space="0" w:color="auto"/>
        <w:bottom w:val="none" w:sz="0" w:space="0" w:color="auto"/>
        <w:right w:val="none" w:sz="0" w:space="0" w:color="auto"/>
      </w:divBdr>
    </w:div>
    <w:div w:id="116077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eemedexports.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P.Health-Services@noa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rporateservices.noaa.gov/~noaaforms/eforms/nf57-10-01.pdf" TargetMode="External"/><Relationship Id="rId4" Type="http://schemas.openxmlformats.org/officeDocument/2006/relationships/webSettings" Target="webSettings.xml"/><Relationship Id="rId9" Type="http://schemas.openxmlformats.org/officeDocument/2006/relationships/hyperlink" Target="file:///C:/Users/brian.parker/Downloads/omao.customer.satisfaction@noa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5436</Words>
  <Characters>30986</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Parker</dc:creator>
  <cp:lastModifiedBy>janet.duffy-anderson</cp:lastModifiedBy>
  <cp:revision>2</cp:revision>
  <dcterms:created xsi:type="dcterms:W3CDTF">2013-04-08T16:29:00Z</dcterms:created>
  <dcterms:modified xsi:type="dcterms:W3CDTF">2013-04-08T16:29:00Z</dcterms:modified>
</cp:coreProperties>
</file>